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84" w:rsidRPr="00605159" w:rsidRDefault="00B06984" w:rsidP="00605159">
      <w:pPr>
        <w:pStyle w:val="2"/>
        <w:spacing w:before="0" w:after="0" w:line="360" w:lineRule="auto"/>
        <w:jc w:val="center"/>
        <w:rPr>
          <w:rFonts w:ascii="微软雅黑" w:eastAsia="微软雅黑" w:hAnsi="微软雅黑" w:cs="Times New Roman"/>
          <w:bCs w:val="0"/>
        </w:rPr>
      </w:pPr>
      <w:r w:rsidRPr="00665206">
        <w:rPr>
          <w:rFonts w:ascii="微软雅黑" w:eastAsia="微软雅黑" w:hAnsi="微软雅黑" w:cs="Times New Roman" w:hint="eastAsia"/>
          <w:bCs w:val="0"/>
        </w:rPr>
        <w:t>第二届中国LED企业国际竞争力TOP10评选</w:t>
      </w:r>
      <w:r w:rsidR="00FC3478">
        <w:rPr>
          <w:rFonts w:ascii="微软雅黑" w:eastAsia="微软雅黑" w:hAnsi="微软雅黑" w:cs="Times New Roman" w:hint="eastAsia"/>
          <w:bCs w:val="0"/>
        </w:rPr>
        <w:t>组织</w:t>
      </w:r>
      <w:r w:rsidRPr="00665206">
        <w:rPr>
          <w:rFonts w:ascii="微软雅黑" w:eastAsia="微软雅黑" w:hAnsi="微软雅黑" w:cs="Times New Roman" w:hint="eastAsia"/>
          <w:bCs w:val="0"/>
        </w:rPr>
        <w:t>方案</w:t>
      </w:r>
    </w:p>
    <w:p w:rsidR="00605159" w:rsidRDefault="00605159" w:rsidP="00FC3478">
      <w:pPr>
        <w:spacing w:line="360" w:lineRule="auto"/>
        <w:ind w:firstLineChars="200" w:firstLine="480"/>
        <w:contextualSpacing/>
        <w:rPr>
          <w:rFonts w:ascii="微软雅黑" w:eastAsia="微软雅黑" w:hAnsi="微软雅黑"/>
          <w:sz w:val="24"/>
          <w:szCs w:val="24"/>
        </w:rPr>
      </w:pPr>
    </w:p>
    <w:p w:rsidR="00A838C4" w:rsidRDefault="00450AF8" w:rsidP="00FC3478">
      <w:pPr>
        <w:spacing w:line="360" w:lineRule="auto"/>
        <w:ind w:firstLineChars="200" w:firstLine="480"/>
        <w:contextualSpacing/>
        <w:rPr>
          <w:rFonts w:ascii="微软雅黑" w:eastAsia="微软雅黑" w:hAnsi="微软雅黑"/>
          <w:sz w:val="24"/>
          <w:szCs w:val="24"/>
        </w:rPr>
      </w:pPr>
      <w:r w:rsidRPr="00665206">
        <w:rPr>
          <w:rFonts w:ascii="微软雅黑" w:eastAsia="微软雅黑" w:hAnsi="微软雅黑" w:hint="eastAsia"/>
          <w:sz w:val="24"/>
          <w:szCs w:val="24"/>
        </w:rPr>
        <w:t>为</w:t>
      </w:r>
      <w:r w:rsidRPr="00665206">
        <w:rPr>
          <w:rFonts w:ascii="微软雅黑" w:eastAsia="微软雅黑" w:hAnsi="微软雅黑"/>
          <w:sz w:val="24"/>
          <w:szCs w:val="24"/>
        </w:rPr>
        <w:t>进一步</w:t>
      </w:r>
      <w:r w:rsidRPr="00665206">
        <w:rPr>
          <w:rFonts w:ascii="微软雅黑" w:eastAsia="微软雅黑" w:hAnsi="微软雅黑" w:hint="eastAsia"/>
          <w:sz w:val="24"/>
          <w:szCs w:val="24"/>
        </w:rPr>
        <w:t>强化我国LED企业在</w:t>
      </w:r>
      <w:r w:rsidRPr="00665206">
        <w:rPr>
          <w:rFonts w:ascii="微软雅黑" w:eastAsia="微软雅黑" w:hAnsi="微软雅黑"/>
          <w:sz w:val="24"/>
          <w:szCs w:val="24"/>
        </w:rPr>
        <w:t>国际市场</w:t>
      </w:r>
      <w:r w:rsidRPr="00665206">
        <w:rPr>
          <w:rFonts w:ascii="微软雅黑" w:eastAsia="微软雅黑" w:hAnsi="微软雅黑" w:hint="eastAsia"/>
          <w:sz w:val="24"/>
          <w:szCs w:val="24"/>
        </w:rPr>
        <w:t>中的竞争优势、持续扩大本土企业品牌</w:t>
      </w:r>
      <w:r w:rsidRPr="00665206">
        <w:rPr>
          <w:rFonts w:ascii="微软雅黑" w:eastAsia="微软雅黑" w:hAnsi="微软雅黑"/>
          <w:sz w:val="24"/>
          <w:szCs w:val="24"/>
        </w:rPr>
        <w:t>影响力</w:t>
      </w:r>
      <w:r w:rsidRPr="00665206">
        <w:rPr>
          <w:rFonts w:ascii="微软雅黑" w:eastAsia="微软雅黑" w:hAnsi="微软雅黑" w:hint="eastAsia"/>
          <w:sz w:val="24"/>
          <w:szCs w:val="24"/>
        </w:rPr>
        <w:t>及国际竞争力、不断深化国家“一带一路”发展战略， LED国际合作促进联盟(LICA)将在</w:t>
      </w:r>
      <w:r w:rsidR="007220EF" w:rsidRPr="00665206">
        <w:rPr>
          <w:rFonts w:ascii="微软雅黑" w:eastAsia="微软雅黑" w:hAnsi="微软雅黑" w:hint="eastAsia"/>
          <w:sz w:val="24"/>
          <w:szCs w:val="24"/>
        </w:rPr>
        <w:t>上期</w:t>
      </w:r>
      <w:r w:rsidRPr="00665206">
        <w:rPr>
          <w:rFonts w:ascii="微软雅黑" w:eastAsia="微软雅黑" w:hAnsi="微软雅黑" w:hint="eastAsia"/>
          <w:sz w:val="24"/>
          <w:szCs w:val="24"/>
        </w:rPr>
        <w:t>评选的</w:t>
      </w:r>
      <w:r w:rsidR="007220EF" w:rsidRPr="00665206">
        <w:rPr>
          <w:rFonts w:ascii="微软雅黑" w:eastAsia="微软雅黑" w:hAnsi="微软雅黑" w:hint="eastAsia"/>
          <w:sz w:val="24"/>
          <w:szCs w:val="24"/>
        </w:rPr>
        <w:t>显著行业及国内外影响</w:t>
      </w:r>
      <w:r w:rsidRPr="00665206">
        <w:rPr>
          <w:rFonts w:ascii="微软雅黑" w:eastAsia="微软雅黑" w:hAnsi="微软雅黑" w:hint="eastAsia"/>
          <w:sz w:val="24"/>
          <w:szCs w:val="24"/>
        </w:rPr>
        <w:t>基础之上，</w:t>
      </w:r>
      <w:r w:rsidR="007220EF" w:rsidRPr="00665206">
        <w:rPr>
          <w:rFonts w:ascii="微软雅黑" w:eastAsia="微软雅黑" w:hAnsi="微软雅黑" w:hint="eastAsia"/>
          <w:sz w:val="24"/>
          <w:szCs w:val="24"/>
        </w:rPr>
        <w:t>举办 “第二届中国LED企业国际竞争力TOP10”评选活动，力求打造出拥有世界级品牌和国际影响力的中国LED企业。</w:t>
      </w:r>
    </w:p>
    <w:p w:rsidR="00FC3478" w:rsidRPr="00665206" w:rsidRDefault="00FC3478" w:rsidP="00FC3478">
      <w:pPr>
        <w:spacing w:line="360" w:lineRule="auto"/>
        <w:ind w:firstLineChars="200" w:firstLine="480"/>
        <w:contextualSpacing/>
        <w:rPr>
          <w:rFonts w:ascii="微软雅黑" w:eastAsia="微软雅黑" w:hAnsi="微软雅黑"/>
          <w:sz w:val="24"/>
          <w:szCs w:val="24"/>
        </w:rPr>
      </w:pPr>
    </w:p>
    <w:p w:rsidR="00B06984" w:rsidRPr="00665206" w:rsidRDefault="000B676D" w:rsidP="00FC3478">
      <w:pPr>
        <w:pStyle w:val="2"/>
        <w:spacing w:before="0" w:after="0" w:line="360" w:lineRule="auto"/>
        <w:rPr>
          <w:rFonts w:ascii="微软雅黑" w:eastAsia="微软雅黑" w:hAnsi="微软雅黑"/>
          <w:sz w:val="24"/>
          <w:szCs w:val="24"/>
        </w:rPr>
      </w:pPr>
      <w:r w:rsidRPr="00665206">
        <w:rPr>
          <w:rFonts w:ascii="微软雅黑" w:eastAsia="微软雅黑" w:hAnsi="微软雅黑" w:cs="Times New Roman" w:hint="eastAsia"/>
          <w:bCs w:val="0"/>
          <w:sz w:val="24"/>
          <w:szCs w:val="24"/>
        </w:rPr>
        <w:t>一</w:t>
      </w:r>
      <w:r w:rsidR="00137743"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主办单位</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LED国际合作促进联盟(LICA)</w:t>
      </w:r>
      <w:r w:rsidR="00863413">
        <w:rPr>
          <w:rFonts w:ascii="微软雅黑" w:eastAsia="微软雅黑" w:hAnsi="微软雅黑" w:hint="eastAsia"/>
          <w:sz w:val="24"/>
          <w:szCs w:val="24"/>
        </w:rPr>
        <w:t>、</w:t>
      </w:r>
      <w:r w:rsidR="00863413" w:rsidRPr="00665206">
        <w:rPr>
          <w:rFonts w:ascii="微软雅黑" w:eastAsia="微软雅黑" w:hAnsi="微软雅黑" w:hint="eastAsia"/>
          <w:sz w:val="24"/>
          <w:szCs w:val="24"/>
        </w:rPr>
        <w:t>广东省半导体光源产业协会</w:t>
      </w:r>
    </w:p>
    <w:p w:rsidR="00B06984" w:rsidRPr="00665206" w:rsidRDefault="000B676D"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二</w:t>
      </w:r>
      <w:r w:rsidR="00137743"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承办单位</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广东省半导体照明产业联合创新中心（GSC）</w:t>
      </w:r>
    </w:p>
    <w:p w:rsidR="00347BA5" w:rsidRPr="00665206" w:rsidRDefault="000B676D"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三</w:t>
      </w:r>
      <w:r w:rsidR="00347BA5" w:rsidRPr="00665206">
        <w:rPr>
          <w:rFonts w:ascii="微软雅黑" w:eastAsia="微软雅黑" w:hAnsi="微软雅黑" w:cs="Times New Roman" w:hint="eastAsia"/>
          <w:bCs w:val="0"/>
          <w:sz w:val="24"/>
          <w:szCs w:val="24"/>
        </w:rPr>
        <w:t>、协办单位</w:t>
      </w:r>
    </w:p>
    <w:p w:rsidR="00347BA5" w:rsidRPr="00665206" w:rsidRDefault="00D73D9D" w:rsidP="00FC3478">
      <w:pPr>
        <w:spacing w:line="360" w:lineRule="auto"/>
        <w:ind w:firstLineChars="200" w:firstLine="480"/>
        <w:rPr>
          <w:rFonts w:ascii="微软雅黑" w:eastAsia="微软雅黑" w:hAnsi="微软雅黑"/>
          <w:color w:val="FF0000"/>
          <w:sz w:val="24"/>
          <w:szCs w:val="24"/>
        </w:rPr>
      </w:pPr>
      <w:r w:rsidRPr="00665206">
        <w:rPr>
          <w:rFonts w:ascii="微软雅黑" w:eastAsia="微软雅黑" w:hAnsi="微软雅黑" w:hint="eastAsia"/>
          <w:sz w:val="24"/>
          <w:szCs w:val="24"/>
        </w:rPr>
        <w:t>深圳市LED</w:t>
      </w:r>
      <w:r w:rsidRPr="00665206">
        <w:rPr>
          <w:rFonts w:ascii="微软雅黑" w:eastAsia="微软雅黑" w:hAnsi="微软雅黑"/>
          <w:sz w:val="24"/>
          <w:szCs w:val="24"/>
        </w:rPr>
        <w:t>产业联合会</w:t>
      </w:r>
    </w:p>
    <w:p w:rsidR="00137743" w:rsidRPr="00665206" w:rsidRDefault="000B676D"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四</w:t>
      </w:r>
      <w:r w:rsidR="00137743" w:rsidRPr="00665206">
        <w:rPr>
          <w:rFonts w:ascii="微软雅黑" w:eastAsia="微软雅黑" w:hAnsi="微软雅黑" w:cs="Times New Roman" w:hint="eastAsia"/>
          <w:bCs w:val="0"/>
          <w:sz w:val="24"/>
          <w:szCs w:val="24"/>
        </w:rPr>
        <w:t>、支持单位</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俄罗斯联邦驻中华人民共和国商务代表处</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工业和信息化部国际经济技术合作中心</w:t>
      </w:r>
    </w:p>
    <w:p w:rsidR="00645E78" w:rsidRPr="00645E78" w:rsidRDefault="00645E78" w:rsidP="00645E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工业和信息化部电子第五研究所</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中国国际贸易促进委员会电子信息行业分会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中国外商投资企业协会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中国国际贸易促进委员会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中国贸易促进会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lastRenderedPageBreak/>
        <w:t>中国生产力促进中心协会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中俄贸易促进会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 xml:space="preserve">香港贸发局 </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俄罗斯驻广州总领事馆</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印度驻广州总领事馆</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瑞士驻广州总领事馆</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广东省贸易促进会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广东省投资促进局</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广东省中小企业发展促进会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马来西亚电子电器协会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印度工商联合会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波兰华人商会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比利时林堡省</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欧盟een</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俄罗斯亚洲工业企业家联合会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土耳其青年企业家商会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 xml:space="preserve">华南美国商会 </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俄罗斯照明技术科学研究院检测中心</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中国建筑装饰协会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中国国际贸易促进会建筑材料行业分会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广东省标准化研究院</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广东国际战略研究院</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广东省高智新兴产业发展研究院</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广东工业大学</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清华大学公共管理学院</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广东省电动车商会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广东省电子信息产业协会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广东省工商业联合会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广东省电气商会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广东省对外经济合作企业协会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国家半导体照明工程研发及产业联盟</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中国照明电器协会</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中国灯饰照明共享联盟</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LED产业专利联盟</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阿里巴巴集团</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美国PennWell公司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美国UL认证</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sz w:val="24"/>
          <w:szCs w:val="24"/>
        </w:rPr>
        <w:t>Lighting Business Consulting(LBC)</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sz w:val="24"/>
          <w:szCs w:val="24"/>
        </w:rPr>
        <w:t>I</w:t>
      </w:r>
      <w:r w:rsidRPr="00665206">
        <w:rPr>
          <w:rFonts w:ascii="微软雅黑" w:eastAsia="微软雅黑" w:hAnsi="微软雅黑" w:hint="eastAsia"/>
          <w:sz w:val="24"/>
          <w:szCs w:val="24"/>
        </w:rPr>
        <w:t>H</w:t>
      </w:r>
      <w:r w:rsidRPr="00665206">
        <w:rPr>
          <w:rFonts w:ascii="微软雅黑" w:eastAsia="微软雅黑" w:hAnsi="微软雅黑"/>
          <w:sz w:val="24"/>
          <w:szCs w:val="24"/>
        </w:rPr>
        <w:t>S</w:t>
      </w:r>
      <w:r w:rsidRPr="00665206">
        <w:rPr>
          <w:rFonts w:ascii="微软雅黑" w:eastAsia="微软雅黑" w:hAnsi="微软雅黑" w:hint="eastAsia"/>
          <w:sz w:val="24"/>
          <w:szCs w:val="24"/>
        </w:rPr>
        <w:t>咨询公司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深圳金砖投资咨询有限公司联合巴西</w:t>
      </w:r>
      <w:r w:rsidRPr="00665206">
        <w:rPr>
          <w:rFonts w:ascii="微软雅黑" w:eastAsia="微软雅黑" w:hAnsi="微软雅黑"/>
          <w:sz w:val="24"/>
          <w:szCs w:val="24"/>
        </w:rPr>
        <w:t>Luz D Led</w:t>
      </w:r>
      <w:r w:rsidRPr="00665206">
        <w:rPr>
          <w:rFonts w:ascii="微软雅黑" w:eastAsia="微软雅黑" w:hAnsi="微软雅黑" w:hint="eastAsia"/>
          <w:sz w:val="24"/>
          <w:szCs w:val="24"/>
        </w:rPr>
        <w:t>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华泰国际传媒集团</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深圳市莫斯特实业发展有限公司</w:t>
      </w:r>
    </w:p>
    <w:p w:rsidR="000B676D" w:rsidRPr="00665206" w:rsidRDefault="000B676D"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五</w:t>
      </w:r>
      <w:r w:rsidRPr="00665206">
        <w:rPr>
          <w:rFonts w:ascii="微软雅黑" w:eastAsia="微软雅黑" w:hAnsi="微软雅黑" w:cs="Times New Roman"/>
          <w:bCs w:val="0"/>
          <w:sz w:val="24"/>
          <w:szCs w:val="24"/>
        </w:rPr>
        <w:t>、</w:t>
      </w:r>
      <w:r w:rsidRPr="00665206">
        <w:rPr>
          <w:rFonts w:ascii="微软雅黑" w:eastAsia="微软雅黑" w:hAnsi="微软雅黑" w:cs="Times New Roman" w:hint="eastAsia"/>
          <w:bCs w:val="0"/>
          <w:sz w:val="24"/>
          <w:szCs w:val="24"/>
        </w:rPr>
        <w:t>合作单位</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河源江东新区</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中国对外贸易广州展览总公司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广州交易会广告有限公司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新疆雷诺展览有限公司（亚欧光电展）</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广东省广晟资产经营有限公司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毕马威企业咨询（中国）有限公司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深圳市泰德胜物流有限公司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北京德力知识产权服务有限公司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inWorks 香港印客（印度）有限公司</w:t>
      </w:r>
    </w:p>
    <w:p w:rsidR="000B676D" w:rsidRPr="00665206" w:rsidRDefault="000B676D"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佛山宁宇科技股份有限公司</w:t>
      </w:r>
    </w:p>
    <w:p w:rsidR="0051501A" w:rsidRPr="00665206" w:rsidRDefault="00BC52E4"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六</w:t>
      </w:r>
      <w:r w:rsidR="00651E13">
        <w:rPr>
          <w:rFonts w:ascii="微软雅黑" w:eastAsia="微软雅黑" w:hAnsi="微软雅黑" w:cs="Times New Roman" w:hint="eastAsia"/>
          <w:bCs w:val="0"/>
          <w:sz w:val="24"/>
          <w:szCs w:val="24"/>
        </w:rPr>
        <w:t>、支持</w:t>
      </w:r>
      <w:r w:rsidR="0051501A" w:rsidRPr="00665206">
        <w:rPr>
          <w:rFonts w:ascii="微软雅黑" w:eastAsia="微软雅黑" w:hAnsi="微软雅黑" w:cs="Times New Roman" w:hint="eastAsia"/>
          <w:bCs w:val="0"/>
          <w:sz w:val="24"/>
          <w:szCs w:val="24"/>
        </w:rPr>
        <w:t>媒体</w:t>
      </w:r>
    </w:p>
    <w:p w:rsidR="00BC52E4" w:rsidRPr="00651E13" w:rsidRDefault="00BC52E4" w:rsidP="00605159">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新华社、人民日报、中新社、科技日报、南方日报、香港文汇报、大公报、香港商报、中国科技报道、广东科技报、经济日报、佛山日报、新快报、腾讯、网易、华泰卫视、《中国建筑装饰装修》、慧聪LED网、阿拉丁照明网、中国照明网、千家网、</w:t>
      </w:r>
      <w:r w:rsidRPr="00665206">
        <w:rPr>
          <w:rFonts w:ascii="微软雅黑" w:eastAsia="微软雅黑" w:hAnsi="微软雅黑"/>
          <w:sz w:val="24"/>
          <w:szCs w:val="24"/>
        </w:rPr>
        <w:t>LEDinside</w:t>
      </w:r>
      <w:r w:rsidRPr="00665206">
        <w:rPr>
          <w:rFonts w:ascii="微软雅黑" w:eastAsia="微软雅黑" w:hAnsi="微软雅黑" w:hint="eastAsia"/>
          <w:sz w:val="24"/>
          <w:szCs w:val="24"/>
        </w:rPr>
        <w:t>、大照明、新兴产业战略智库</w:t>
      </w:r>
      <w:r w:rsidR="00651E13">
        <w:rPr>
          <w:rFonts w:ascii="微软雅黑" w:eastAsia="微软雅黑" w:hAnsi="微软雅黑" w:hint="eastAsia"/>
          <w:sz w:val="24"/>
          <w:szCs w:val="24"/>
        </w:rPr>
        <w:t>（ges_org</w:t>
      </w:r>
      <w:r w:rsidR="00651E13">
        <w:rPr>
          <w:rFonts w:ascii="微软雅黑" w:eastAsia="微软雅黑" w:hAnsi="微软雅黑"/>
          <w:sz w:val="24"/>
          <w:szCs w:val="24"/>
        </w:rPr>
        <w:t>）</w:t>
      </w:r>
      <w:r w:rsidRPr="00665206">
        <w:rPr>
          <w:rFonts w:ascii="微软雅黑" w:eastAsia="微软雅黑" w:hAnsi="微软雅黑" w:hint="eastAsia"/>
          <w:sz w:val="24"/>
          <w:szCs w:val="24"/>
        </w:rPr>
        <w:t>、《LED市场》、《广东LED》</w:t>
      </w:r>
    </w:p>
    <w:p w:rsidR="00B06984" w:rsidRPr="00665206" w:rsidRDefault="00101A23"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七</w:t>
      </w:r>
      <w:r w:rsidR="0051501A"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评选原则</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本次评选遵循公平、公正、公开的原则，以客观数据为依托，通过公开征集、自愿申报，并通过第三方</w:t>
      </w:r>
      <w:r w:rsidR="004C1E99" w:rsidRPr="00665206">
        <w:rPr>
          <w:rFonts w:ascii="微软雅黑" w:eastAsia="微软雅黑" w:hAnsi="微软雅黑" w:hint="eastAsia"/>
          <w:sz w:val="24"/>
          <w:szCs w:val="24"/>
        </w:rPr>
        <w:t>机构</w:t>
      </w:r>
      <w:r w:rsidRPr="00665206">
        <w:rPr>
          <w:rFonts w:ascii="微软雅黑" w:eastAsia="微软雅黑" w:hAnsi="微软雅黑" w:hint="eastAsia"/>
          <w:sz w:val="24"/>
          <w:szCs w:val="24"/>
        </w:rPr>
        <w:t>审议、大众评审、专家评审等程序，甄选出年度最具国际竞争力的中国LED企业。</w:t>
      </w:r>
    </w:p>
    <w:p w:rsidR="00B06984" w:rsidRPr="00665206" w:rsidRDefault="00101A23"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八</w:t>
      </w:r>
      <w:r w:rsidR="0051501A"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奖项设置</w:t>
      </w:r>
    </w:p>
    <w:p w:rsidR="00F90DEB" w:rsidRPr="00665206" w:rsidRDefault="00006322" w:rsidP="00FC3478">
      <w:pPr>
        <w:spacing w:line="360" w:lineRule="auto"/>
        <w:ind w:firstLineChars="200" w:firstLine="480"/>
        <w:jc w:val="left"/>
        <w:rPr>
          <w:rFonts w:ascii="微软雅黑" w:eastAsia="微软雅黑" w:hAnsi="微软雅黑"/>
          <w:sz w:val="24"/>
          <w:szCs w:val="24"/>
        </w:rPr>
      </w:pPr>
      <w:r w:rsidRPr="00665206">
        <w:rPr>
          <w:rFonts w:ascii="微软雅黑" w:eastAsia="微软雅黑" w:hAnsi="微软雅黑" w:hint="eastAsia"/>
          <w:sz w:val="24"/>
          <w:szCs w:val="24"/>
        </w:rPr>
        <w:t>中国</w:t>
      </w:r>
      <w:r w:rsidR="00EC66E3" w:rsidRPr="00665206">
        <w:rPr>
          <w:rFonts w:ascii="微软雅黑" w:eastAsia="微软雅黑" w:hAnsi="微软雅黑" w:hint="eastAsia"/>
          <w:sz w:val="24"/>
          <w:szCs w:val="24"/>
        </w:rPr>
        <w:t>LED企业</w:t>
      </w:r>
      <w:r w:rsidR="00F90DEB" w:rsidRPr="00665206">
        <w:rPr>
          <w:rFonts w:ascii="微软雅黑" w:eastAsia="微软雅黑" w:hAnsi="微软雅黑" w:hint="eastAsia"/>
          <w:sz w:val="24"/>
          <w:szCs w:val="24"/>
        </w:rPr>
        <w:t>国际竞争力TOP10</w:t>
      </w:r>
    </w:p>
    <w:p w:rsidR="00F90DEB" w:rsidRPr="00665206" w:rsidRDefault="00006322" w:rsidP="00FC3478">
      <w:pPr>
        <w:spacing w:line="360" w:lineRule="auto"/>
        <w:ind w:firstLineChars="200" w:firstLine="480"/>
        <w:jc w:val="left"/>
        <w:rPr>
          <w:rFonts w:ascii="微软雅黑" w:eastAsia="微软雅黑" w:hAnsi="微软雅黑"/>
          <w:sz w:val="24"/>
          <w:szCs w:val="24"/>
        </w:rPr>
      </w:pPr>
      <w:r w:rsidRPr="00665206">
        <w:rPr>
          <w:rFonts w:ascii="微软雅黑" w:eastAsia="微软雅黑" w:hAnsi="微软雅黑" w:hint="eastAsia"/>
          <w:sz w:val="24"/>
          <w:szCs w:val="24"/>
        </w:rPr>
        <w:t>中国</w:t>
      </w:r>
      <w:r w:rsidR="00EC66E3" w:rsidRPr="00665206">
        <w:rPr>
          <w:rFonts w:ascii="微软雅黑" w:eastAsia="微软雅黑" w:hAnsi="微软雅黑" w:hint="eastAsia"/>
          <w:sz w:val="24"/>
          <w:szCs w:val="24"/>
        </w:rPr>
        <w:t>LED照明企业</w:t>
      </w:r>
      <w:r w:rsidR="00F90DEB" w:rsidRPr="00665206">
        <w:rPr>
          <w:rFonts w:ascii="微软雅黑" w:eastAsia="微软雅黑" w:hAnsi="微软雅黑" w:hint="eastAsia"/>
          <w:sz w:val="24"/>
          <w:szCs w:val="24"/>
        </w:rPr>
        <w:t>国际竞争力TOP10</w:t>
      </w:r>
    </w:p>
    <w:p w:rsidR="00F90DEB" w:rsidRPr="00665206" w:rsidRDefault="00006322" w:rsidP="00FC3478">
      <w:pPr>
        <w:spacing w:line="360" w:lineRule="auto"/>
        <w:ind w:firstLineChars="200" w:firstLine="480"/>
        <w:jc w:val="left"/>
        <w:rPr>
          <w:rFonts w:ascii="微软雅黑" w:eastAsia="微软雅黑" w:hAnsi="微软雅黑"/>
          <w:sz w:val="24"/>
          <w:szCs w:val="24"/>
        </w:rPr>
      </w:pPr>
      <w:r w:rsidRPr="00665206">
        <w:rPr>
          <w:rFonts w:ascii="微软雅黑" w:eastAsia="微软雅黑" w:hAnsi="微软雅黑" w:hint="eastAsia"/>
          <w:sz w:val="24"/>
          <w:szCs w:val="24"/>
        </w:rPr>
        <w:t>中国</w:t>
      </w:r>
      <w:r w:rsidR="00EC66E3" w:rsidRPr="00665206">
        <w:rPr>
          <w:rFonts w:ascii="微软雅黑" w:eastAsia="微软雅黑" w:hAnsi="微软雅黑" w:hint="eastAsia"/>
          <w:sz w:val="24"/>
          <w:szCs w:val="24"/>
        </w:rPr>
        <w:t>LED显示屏企业</w:t>
      </w:r>
      <w:r w:rsidR="00F90DEB" w:rsidRPr="00665206">
        <w:rPr>
          <w:rFonts w:ascii="微软雅黑" w:eastAsia="微软雅黑" w:hAnsi="微软雅黑" w:hint="eastAsia"/>
          <w:sz w:val="24"/>
          <w:szCs w:val="24"/>
        </w:rPr>
        <w:t>国际竞争力TOP10</w:t>
      </w:r>
    </w:p>
    <w:p w:rsidR="00F90DEB" w:rsidRDefault="00006322" w:rsidP="00FC3478">
      <w:pPr>
        <w:spacing w:line="360" w:lineRule="auto"/>
        <w:ind w:firstLineChars="200" w:firstLine="480"/>
        <w:jc w:val="left"/>
        <w:rPr>
          <w:rFonts w:ascii="微软雅黑" w:eastAsia="微软雅黑" w:hAnsi="微软雅黑"/>
          <w:sz w:val="24"/>
          <w:szCs w:val="24"/>
        </w:rPr>
      </w:pPr>
      <w:r w:rsidRPr="00665206">
        <w:rPr>
          <w:rFonts w:ascii="微软雅黑" w:eastAsia="微软雅黑" w:hAnsi="微软雅黑" w:hint="eastAsia"/>
          <w:sz w:val="24"/>
          <w:szCs w:val="24"/>
        </w:rPr>
        <w:t>中国</w:t>
      </w:r>
      <w:r w:rsidR="00EC66E3" w:rsidRPr="00665206">
        <w:rPr>
          <w:rFonts w:ascii="微软雅黑" w:eastAsia="微软雅黑" w:hAnsi="微软雅黑" w:hint="eastAsia"/>
          <w:sz w:val="24"/>
          <w:szCs w:val="24"/>
        </w:rPr>
        <w:t>LED灯饰企业</w:t>
      </w:r>
      <w:r w:rsidR="00F90DEB" w:rsidRPr="00665206">
        <w:rPr>
          <w:rFonts w:ascii="微软雅黑" w:eastAsia="微软雅黑" w:hAnsi="微软雅黑" w:hint="eastAsia"/>
          <w:sz w:val="24"/>
          <w:szCs w:val="24"/>
        </w:rPr>
        <w:t>国际竞争力TOP10</w:t>
      </w:r>
    </w:p>
    <w:p w:rsidR="00885C73" w:rsidRPr="00885C73" w:rsidRDefault="00885C73" w:rsidP="00885C73">
      <w:pPr>
        <w:spacing w:line="360" w:lineRule="auto"/>
        <w:ind w:firstLineChars="200" w:firstLine="480"/>
        <w:jc w:val="left"/>
        <w:rPr>
          <w:rFonts w:ascii="微软雅黑" w:eastAsia="微软雅黑" w:hAnsi="微软雅黑"/>
          <w:sz w:val="24"/>
          <w:szCs w:val="24"/>
        </w:rPr>
      </w:pPr>
      <w:r w:rsidRPr="00665206">
        <w:rPr>
          <w:rFonts w:ascii="微软雅黑" w:eastAsia="微软雅黑" w:hAnsi="微软雅黑" w:hint="eastAsia"/>
          <w:sz w:val="24"/>
          <w:szCs w:val="24"/>
        </w:rPr>
        <w:t>中国LED封装企业国际竞争力TOP10</w:t>
      </w:r>
    </w:p>
    <w:p w:rsidR="00B37DA6" w:rsidRDefault="00885C73" w:rsidP="00885C73">
      <w:pPr>
        <w:spacing w:line="360" w:lineRule="auto"/>
        <w:ind w:firstLineChars="200" w:firstLine="480"/>
        <w:jc w:val="left"/>
        <w:rPr>
          <w:rFonts w:ascii="微软雅黑" w:eastAsia="微软雅黑" w:hAnsi="微软雅黑"/>
          <w:sz w:val="24"/>
          <w:szCs w:val="24"/>
        </w:rPr>
      </w:pPr>
      <w:r w:rsidRPr="00665206">
        <w:rPr>
          <w:rFonts w:ascii="微软雅黑" w:eastAsia="微软雅黑" w:hAnsi="微软雅黑" w:hint="eastAsia"/>
          <w:sz w:val="24"/>
          <w:szCs w:val="24"/>
        </w:rPr>
        <w:t>中国LED</w:t>
      </w:r>
      <w:r>
        <w:rPr>
          <w:rFonts w:ascii="微软雅黑" w:eastAsia="微软雅黑" w:hAnsi="微软雅黑" w:hint="eastAsia"/>
          <w:sz w:val="24"/>
          <w:szCs w:val="24"/>
        </w:rPr>
        <w:t>产品供应商</w:t>
      </w:r>
      <w:r w:rsidRPr="00665206">
        <w:rPr>
          <w:rFonts w:ascii="微软雅黑" w:eastAsia="微软雅黑" w:hAnsi="微软雅黑" w:hint="eastAsia"/>
          <w:sz w:val="24"/>
          <w:szCs w:val="24"/>
        </w:rPr>
        <w:t>国际竞争力TOP10</w:t>
      </w:r>
    </w:p>
    <w:p w:rsidR="00885C73" w:rsidRPr="00885C73" w:rsidRDefault="00885C73" w:rsidP="00885C73">
      <w:pPr>
        <w:spacing w:line="360" w:lineRule="auto"/>
        <w:ind w:firstLineChars="200" w:firstLine="480"/>
        <w:jc w:val="left"/>
        <w:rPr>
          <w:rFonts w:ascii="微软雅黑" w:eastAsia="微软雅黑" w:hAnsi="微软雅黑"/>
          <w:sz w:val="24"/>
          <w:szCs w:val="24"/>
        </w:rPr>
      </w:pPr>
      <w:r>
        <w:rPr>
          <w:rFonts w:ascii="微软雅黑" w:eastAsia="微软雅黑" w:hAnsi="微软雅黑" w:hint="eastAsia"/>
          <w:sz w:val="24"/>
          <w:szCs w:val="24"/>
        </w:rPr>
        <w:t>（芯片类、电源类、设备类、材料类等）</w:t>
      </w:r>
    </w:p>
    <w:p w:rsidR="00B06984" w:rsidRPr="00665206" w:rsidRDefault="00FF2080"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九</w:t>
      </w:r>
      <w:r w:rsidR="0051501A"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参评条件</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在中国境内注册，具有企业法人资格的LED企业；</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拥有进出口经营资格的LED企业；</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具备良好纳税及信用记录的LED企业；</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通过国际通行的质量管理体系认证及标准认证等；</w:t>
      </w:r>
    </w:p>
    <w:p w:rsidR="00D452A9" w:rsidRDefault="00D452A9" w:rsidP="00D452A9">
      <w:pPr>
        <w:spacing w:line="360" w:lineRule="auto"/>
        <w:ind w:firstLineChars="200" w:firstLine="480"/>
        <w:rPr>
          <w:rFonts w:ascii="微软雅黑" w:eastAsia="微软雅黑" w:hAnsi="微软雅黑"/>
          <w:sz w:val="24"/>
          <w:szCs w:val="24"/>
        </w:rPr>
      </w:pPr>
      <w:r w:rsidRPr="00D452A9">
        <w:rPr>
          <w:rFonts w:ascii="微软雅黑" w:eastAsia="微软雅黑" w:hAnsi="微软雅黑" w:hint="eastAsia"/>
          <w:sz w:val="24"/>
          <w:szCs w:val="24"/>
        </w:rPr>
        <w:t>经营状况良好，净资产为正，且近三年出口额保持盈利、年出口额1000万美元以上（选报产品供应商类别奖项的企业不限此列）；</w:t>
      </w:r>
    </w:p>
    <w:p w:rsidR="00B06984" w:rsidRPr="00665206" w:rsidRDefault="00B06984" w:rsidP="00D452A9">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在国内（中国关境内）近三年来无严重违法违规行为，符合国家安全、卫生、环保、社会责任等法律法规和产业政策规定</w:t>
      </w:r>
      <w:r w:rsidR="00FC3477" w:rsidRPr="00665206">
        <w:rPr>
          <w:rFonts w:ascii="微软雅黑" w:eastAsia="微软雅黑" w:hAnsi="微软雅黑" w:hint="eastAsia"/>
          <w:sz w:val="24"/>
          <w:szCs w:val="24"/>
        </w:rPr>
        <w:t>。</w:t>
      </w:r>
    </w:p>
    <w:p w:rsidR="00B06984" w:rsidRPr="00665206" w:rsidRDefault="00043277"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51501A"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评判指标</w:t>
      </w:r>
    </w:p>
    <w:tbl>
      <w:tblPr>
        <w:tblpPr w:leftFromText="180" w:rightFromText="180" w:vertAnchor="text" w:horzAnchor="margin" w:tblpXSpec="center"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3118"/>
      </w:tblGrid>
      <w:tr w:rsidR="00B06984" w:rsidRPr="00665206" w:rsidTr="009D3581">
        <w:trPr>
          <w:trHeight w:val="567"/>
        </w:trPr>
        <w:tc>
          <w:tcPr>
            <w:tcW w:w="1951" w:type="dxa"/>
            <w:shd w:val="clear" w:color="auto" w:fill="auto"/>
            <w:vAlign w:val="center"/>
          </w:tcPr>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一级指标</w:t>
            </w:r>
          </w:p>
        </w:tc>
        <w:tc>
          <w:tcPr>
            <w:tcW w:w="2410"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二级指标</w:t>
            </w: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三级指标</w:t>
            </w:r>
          </w:p>
        </w:tc>
      </w:tr>
      <w:tr w:rsidR="00B06984" w:rsidRPr="00665206" w:rsidTr="009D3581">
        <w:trPr>
          <w:trHeight w:val="567"/>
        </w:trPr>
        <w:tc>
          <w:tcPr>
            <w:tcW w:w="1951" w:type="dxa"/>
            <w:vMerge w:val="restart"/>
            <w:shd w:val="clear" w:color="auto" w:fill="auto"/>
            <w:vAlign w:val="center"/>
          </w:tcPr>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显性</w:t>
            </w:r>
            <w:r w:rsidRPr="00665206">
              <w:rPr>
                <w:rFonts w:ascii="微软雅黑" w:eastAsia="微软雅黑" w:hAnsi="微软雅黑"/>
                <w:sz w:val="24"/>
                <w:szCs w:val="24"/>
              </w:rPr>
              <w:t>竞争力</w:t>
            </w:r>
          </w:p>
        </w:tc>
        <w:tc>
          <w:tcPr>
            <w:tcW w:w="2410" w:type="dxa"/>
            <w:vMerge w:val="restart"/>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综合竞争力</w:t>
            </w: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总营业收入</w:t>
            </w:r>
          </w:p>
        </w:tc>
      </w:tr>
      <w:tr w:rsidR="00B06984" w:rsidRPr="00665206" w:rsidTr="009D3581">
        <w:trPr>
          <w:trHeight w:val="567"/>
        </w:trPr>
        <w:tc>
          <w:tcPr>
            <w:tcW w:w="1951"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总资产周转率</w:t>
            </w:r>
          </w:p>
        </w:tc>
      </w:tr>
      <w:tr w:rsidR="00B06984" w:rsidRPr="00665206" w:rsidTr="009D3581">
        <w:trPr>
          <w:trHeight w:val="567"/>
        </w:trPr>
        <w:tc>
          <w:tcPr>
            <w:tcW w:w="1951"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销售利润率</w:t>
            </w:r>
          </w:p>
        </w:tc>
      </w:tr>
      <w:tr w:rsidR="00B06984" w:rsidRPr="00665206" w:rsidTr="009D3581">
        <w:trPr>
          <w:trHeight w:val="567"/>
        </w:trPr>
        <w:tc>
          <w:tcPr>
            <w:tcW w:w="1951"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固定资产</w:t>
            </w:r>
            <w:r w:rsidRPr="00665206">
              <w:rPr>
                <w:rFonts w:ascii="微软雅黑" w:eastAsia="微软雅黑" w:hAnsi="微软雅黑"/>
                <w:sz w:val="24"/>
                <w:szCs w:val="24"/>
              </w:rPr>
              <w:t>总额</w:t>
            </w:r>
          </w:p>
        </w:tc>
      </w:tr>
      <w:tr w:rsidR="00B06984" w:rsidRPr="00665206" w:rsidTr="009D3581">
        <w:trPr>
          <w:trHeight w:val="567"/>
        </w:trPr>
        <w:tc>
          <w:tcPr>
            <w:tcW w:w="1951"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2410" w:type="dxa"/>
            <w:vMerge w:val="restart"/>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市场竞争力</w:t>
            </w: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海外市场</w:t>
            </w:r>
            <w:r w:rsidRPr="00665206">
              <w:rPr>
                <w:rFonts w:ascii="微软雅黑" w:eastAsia="微软雅黑" w:hAnsi="微软雅黑"/>
                <w:sz w:val="24"/>
                <w:szCs w:val="24"/>
              </w:rPr>
              <w:t>占有率</w:t>
            </w:r>
          </w:p>
        </w:tc>
      </w:tr>
      <w:tr w:rsidR="00B06984" w:rsidRPr="00665206" w:rsidTr="009D3581">
        <w:trPr>
          <w:trHeight w:val="567"/>
        </w:trPr>
        <w:tc>
          <w:tcPr>
            <w:tcW w:w="1951"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海外销售</w:t>
            </w:r>
            <w:r w:rsidR="009A2CE5" w:rsidRPr="00665206">
              <w:rPr>
                <w:rFonts w:ascii="微软雅黑" w:eastAsia="微软雅黑" w:hAnsi="微软雅黑" w:hint="eastAsia"/>
                <w:sz w:val="24"/>
                <w:szCs w:val="24"/>
              </w:rPr>
              <w:t>分支机构</w:t>
            </w:r>
          </w:p>
        </w:tc>
      </w:tr>
      <w:tr w:rsidR="009A2CE5" w:rsidRPr="00665206" w:rsidTr="009D3581">
        <w:trPr>
          <w:trHeight w:val="567"/>
        </w:trPr>
        <w:tc>
          <w:tcPr>
            <w:tcW w:w="1951" w:type="dxa"/>
            <w:vMerge/>
            <w:shd w:val="clear" w:color="auto" w:fill="auto"/>
            <w:vAlign w:val="center"/>
          </w:tcPr>
          <w:p w:rsidR="009A2CE5" w:rsidRPr="00665206" w:rsidRDefault="009A2CE5" w:rsidP="00FC3478">
            <w:pPr>
              <w:spacing w:line="360" w:lineRule="auto"/>
              <w:jc w:val="center"/>
              <w:rPr>
                <w:rFonts w:ascii="微软雅黑" w:eastAsia="微软雅黑" w:hAnsi="微软雅黑"/>
                <w:sz w:val="24"/>
                <w:szCs w:val="24"/>
              </w:rPr>
            </w:pPr>
          </w:p>
        </w:tc>
        <w:tc>
          <w:tcPr>
            <w:tcW w:w="2410" w:type="dxa"/>
            <w:vMerge/>
            <w:shd w:val="clear" w:color="auto" w:fill="auto"/>
            <w:vAlign w:val="center"/>
          </w:tcPr>
          <w:p w:rsidR="009A2CE5" w:rsidRPr="00665206" w:rsidRDefault="009A2CE5"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9A2CE5" w:rsidRPr="00665206" w:rsidRDefault="009A2CE5"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海外</w:t>
            </w:r>
            <w:r w:rsidRPr="00665206">
              <w:rPr>
                <w:rFonts w:ascii="微软雅黑" w:eastAsia="微软雅黑" w:hAnsi="微软雅黑"/>
                <w:sz w:val="24"/>
                <w:szCs w:val="24"/>
              </w:rPr>
              <w:t>投资项目</w:t>
            </w:r>
          </w:p>
        </w:tc>
      </w:tr>
      <w:tr w:rsidR="00B06984" w:rsidRPr="00665206" w:rsidTr="009D3581">
        <w:trPr>
          <w:trHeight w:val="567"/>
        </w:trPr>
        <w:tc>
          <w:tcPr>
            <w:tcW w:w="1951"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出口规模</w:t>
            </w:r>
          </w:p>
        </w:tc>
      </w:tr>
      <w:tr w:rsidR="00B06984" w:rsidRPr="00665206" w:rsidTr="009D3581">
        <w:trPr>
          <w:trHeight w:val="567"/>
        </w:trPr>
        <w:tc>
          <w:tcPr>
            <w:tcW w:w="1951" w:type="dxa"/>
            <w:vMerge w:val="restart"/>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隐形竞争力</w:t>
            </w:r>
          </w:p>
        </w:tc>
        <w:tc>
          <w:tcPr>
            <w:tcW w:w="2410" w:type="dxa"/>
            <w:vMerge w:val="restart"/>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品牌</w:t>
            </w:r>
            <w:r w:rsidRPr="00665206">
              <w:rPr>
                <w:rFonts w:ascii="微软雅黑" w:eastAsia="微软雅黑" w:hAnsi="微软雅黑"/>
                <w:sz w:val="24"/>
                <w:szCs w:val="24"/>
              </w:rPr>
              <w:t>竞争力</w:t>
            </w: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品牌</w:t>
            </w:r>
            <w:r w:rsidRPr="00665206">
              <w:rPr>
                <w:rFonts w:ascii="微软雅黑" w:eastAsia="微软雅黑" w:hAnsi="微软雅黑"/>
                <w:sz w:val="24"/>
                <w:szCs w:val="24"/>
              </w:rPr>
              <w:t>认知度</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企业</w:t>
            </w:r>
            <w:r w:rsidRPr="00665206">
              <w:rPr>
                <w:rFonts w:ascii="微软雅黑" w:eastAsia="微软雅黑" w:hAnsi="微软雅黑"/>
                <w:sz w:val="24"/>
                <w:szCs w:val="24"/>
              </w:rPr>
              <w:t>凝聚力</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社会公益</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val="restart"/>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研发</w:t>
            </w:r>
            <w:r w:rsidRPr="00665206">
              <w:rPr>
                <w:rFonts w:ascii="微软雅黑" w:eastAsia="微软雅黑" w:hAnsi="微软雅黑"/>
                <w:sz w:val="24"/>
                <w:szCs w:val="24"/>
              </w:rPr>
              <w:t>竞争力</w:t>
            </w: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企业</w:t>
            </w:r>
            <w:r w:rsidRPr="00665206">
              <w:rPr>
                <w:rFonts w:ascii="微软雅黑" w:eastAsia="微软雅黑" w:hAnsi="微软雅黑"/>
                <w:sz w:val="24"/>
                <w:szCs w:val="24"/>
              </w:rPr>
              <w:t>年专利申请量</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标准</w:t>
            </w:r>
            <w:r w:rsidRPr="00665206">
              <w:rPr>
                <w:rFonts w:ascii="微软雅黑" w:eastAsia="微软雅黑" w:hAnsi="微软雅黑"/>
                <w:sz w:val="24"/>
                <w:szCs w:val="24"/>
              </w:rPr>
              <w:t>认证数量</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技术人员</w:t>
            </w:r>
            <w:r w:rsidRPr="00665206">
              <w:rPr>
                <w:rFonts w:ascii="微软雅黑" w:eastAsia="微软雅黑" w:hAnsi="微软雅黑"/>
                <w:sz w:val="24"/>
                <w:szCs w:val="24"/>
              </w:rPr>
              <w:t>占比</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研发</w:t>
            </w:r>
            <w:r w:rsidRPr="00665206">
              <w:rPr>
                <w:rFonts w:ascii="微软雅黑" w:eastAsia="微软雅黑" w:hAnsi="微软雅黑"/>
                <w:sz w:val="24"/>
                <w:szCs w:val="24"/>
              </w:rPr>
              <w:t>投入</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val="restart"/>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人才</w:t>
            </w:r>
            <w:r w:rsidRPr="00665206">
              <w:rPr>
                <w:rFonts w:ascii="微软雅黑" w:eastAsia="微软雅黑" w:hAnsi="微软雅黑"/>
                <w:sz w:val="24"/>
                <w:szCs w:val="24"/>
              </w:rPr>
              <w:t>竞争力</w:t>
            </w: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决策</w:t>
            </w:r>
            <w:r w:rsidRPr="00665206">
              <w:rPr>
                <w:rFonts w:ascii="微软雅黑" w:eastAsia="微软雅黑" w:hAnsi="微软雅黑"/>
                <w:sz w:val="24"/>
                <w:szCs w:val="24"/>
              </w:rPr>
              <w:t>成功</w:t>
            </w:r>
            <w:r w:rsidRPr="00665206">
              <w:rPr>
                <w:rFonts w:ascii="微软雅黑" w:eastAsia="微软雅黑" w:hAnsi="微软雅黑" w:hint="eastAsia"/>
                <w:sz w:val="24"/>
                <w:szCs w:val="24"/>
              </w:rPr>
              <w:t>率</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生产人员</w:t>
            </w:r>
            <w:r w:rsidRPr="00665206">
              <w:rPr>
                <w:rFonts w:ascii="微软雅黑" w:eastAsia="微软雅黑" w:hAnsi="微软雅黑"/>
                <w:sz w:val="24"/>
                <w:szCs w:val="24"/>
              </w:rPr>
              <w:t>占比</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企业员工</w:t>
            </w:r>
            <w:r w:rsidRPr="00665206">
              <w:rPr>
                <w:rFonts w:ascii="微软雅黑" w:eastAsia="微软雅黑" w:hAnsi="微软雅黑"/>
                <w:sz w:val="24"/>
                <w:szCs w:val="24"/>
              </w:rPr>
              <w:t>教育程度</w:t>
            </w:r>
          </w:p>
        </w:tc>
      </w:tr>
      <w:tr w:rsidR="00B06984" w:rsidRPr="00665206" w:rsidTr="009D3581">
        <w:trPr>
          <w:trHeight w:val="567"/>
        </w:trPr>
        <w:tc>
          <w:tcPr>
            <w:tcW w:w="1951" w:type="dxa"/>
            <w:vMerge/>
            <w:shd w:val="clear" w:color="auto" w:fill="auto"/>
          </w:tcPr>
          <w:p w:rsidR="00B06984" w:rsidRPr="00665206" w:rsidRDefault="00B06984" w:rsidP="00FC3478">
            <w:pPr>
              <w:spacing w:line="360" w:lineRule="auto"/>
              <w:rPr>
                <w:rFonts w:ascii="微软雅黑" w:eastAsia="微软雅黑" w:hAnsi="微软雅黑"/>
                <w:sz w:val="24"/>
                <w:szCs w:val="24"/>
              </w:rPr>
            </w:pPr>
          </w:p>
        </w:tc>
        <w:tc>
          <w:tcPr>
            <w:tcW w:w="2410" w:type="dxa"/>
            <w:vMerge/>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p>
        </w:tc>
        <w:tc>
          <w:tcPr>
            <w:tcW w:w="3118" w:type="dxa"/>
            <w:shd w:val="clear" w:color="auto" w:fill="auto"/>
            <w:vAlign w:val="center"/>
          </w:tcPr>
          <w:p w:rsidR="00B06984" w:rsidRPr="00665206" w:rsidRDefault="00B06984" w:rsidP="00FC3478">
            <w:pPr>
              <w:spacing w:line="360" w:lineRule="auto"/>
              <w:jc w:val="center"/>
              <w:rPr>
                <w:rFonts w:ascii="微软雅黑" w:eastAsia="微软雅黑" w:hAnsi="微软雅黑"/>
                <w:sz w:val="24"/>
                <w:szCs w:val="24"/>
              </w:rPr>
            </w:pPr>
            <w:r w:rsidRPr="00665206">
              <w:rPr>
                <w:rFonts w:ascii="微软雅黑" w:eastAsia="微软雅黑" w:hAnsi="微软雅黑" w:hint="eastAsia"/>
                <w:sz w:val="24"/>
                <w:szCs w:val="24"/>
              </w:rPr>
              <w:t>劳动</w:t>
            </w:r>
            <w:r w:rsidRPr="00665206">
              <w:rPr>
                <w:rFonts w:ascii="微软雅黑" w:eastAsia="微软雅黑" w:hAnsi="微软雅黑"/>
                <w:sz w:val="24"/>
                <w:szCs w:val="24"/>
              </w:rPr>
              <w:t>效率</w:t>
            </w:r>
          </w:p>
        </w:tc>
      </w:tr>
    </w:tbl>
    <w:p w:rsidR="00B06984" w:rsidRPr="00665206" w:rsidRDefault="00043277"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354C24" w:rsidRPr="00665206">
        <w:rPr>
          <w:rFonts w:ascii="微软雅黑" w:eastAsia="微软雅黑" w:hAnsi="微软雅黑" w:cs="Times New Roman" w:hint="eastAsia"/>
          <w:bCs w:val="0"/>
          <w:sz w:val="24"/>
          <w:szCs w:val="24"/>
        </w:rPr>
        <w:t>一</w:t>
      </w:r>
      <w:r w:rsidR="004C5231"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评选规则</w:t>
      </w:r>
    </w:p>
    <w:p w:rsidR="003E6769" w:rsidRPr="00665206" w:rsidRDefault="003E6769"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本次评选活动本着公平、公正、透明等原则，经过公开征集、自愿申报，并交由第三方</w:t>
      </w:r>
      <w:r w:rsidR="00FE63C2" w:rsidRPr="00665206">
        <w:rPr>
          <w:rFonts w:ascii="微软雅黑" w:eastAsia="微软雅黑" w:hAnsi="微软雅黑" w:hint="eastAsia"/>
          <w:sz w:val="24"/>
          <w:szCs w:val="24"/>
        </w:rPr>
        <w:t>机构</w:t>
      </w:r>
      <w:r w:rsidRPr="00665206">
        <w:rPr>
          <w:rFonts w:ascii="微软雅黑" w:eastAsia="微软雅黑" w:hAnsi="微软雅黑" w:hint="eastAsia"/>
          <w:sz w:val="24"/>
          <w:szCs w:val="24"/>
        </w:rPr>
        <w:t>审议参评企业资料的客观、真实性。本次活动将甄选出一批2015年度最具国际竞争力的中国LED企业，藉以全方位展现和提高中国LED出口企业的国际品牌影响力。</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评价体系</w:t>
      </w:r>
      <w:r w:rsidRPr="00665206">
        <w:rPr>
          <w:rFonts w:ascii="微软雅黑" w:eastAsia="微软雅黑" w:hAnsi="微软雅黑"/>
          <w:sz w:val="24"/>
          <w:szCs w:val="24"/>
        </w:rPr>
        <w:t>分为三部分</w:t>
      </w:r>
      <w:r w:rsidRPr="00665206">
        <w:rPr>
          <w:rFonts w:ascii="微软雅黑" w:eastAsia="微软雅黑" w:hAnsi="微软雅黑" w:hint="eastAsia"/>
          <w:sz w:val="24"/>
          <w:szCs w:val="24"/>
        </w:rPr>
        <w:t>，以数据为依托的出口竞争力评价（</w:t>
      </w:r>
      <w:r w:rsidRPr="00665206">
        <w:rPr>
          <w:rFonts w:ascii="微软雅黑" w:eastAsia="微软雅黑" w:hAnsi="微软雅黑"/>
          <w:sz w:val="24"/>
          <w:szCs w:val="24"/>
        </w:rPr>
        <w:t>权重</w:t>
      </w:r>
      <w:r w:rsidR="00006322"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0</w:t>
      </w:r>
      <w:r w:rsidRPr="00665206">
        <w:rPr>
          <w:rFonts w:ascii="微软雅黑" w:eastAsia="微软雅黑" w:hAnsi="微软雅黑"/>
          <w:sz w:val="24"/>
          <w:szCs w:val="24"/>
        </w:rPr>
        <w:t>%</w:t>
      </w:r>
      <w:r w:rsidRPr="00665206">
        <w:rPr>
          <w:rFonts w:ascii="微软雅黑" w:eastAsia="微软雅黑" w:hAnsi="微软雅黑" w:hint="eastAsia"/>
          <w:sz w:val="24"/>
          <w:szCs w:val="24"/>
        </w:rPr>
        <w:t>）、专家评审（</w:t>
      </w:r>
      <w:r w:rsidR="00006322" w:rsidRPr="00665206">
        <w:rPr>
          <w:rFonts w:ascii="微软雅黑" w:eastAsia="微软雅黑" w:hAnsi="微软雅黑" w:hint="eastAsia"/>
          <w:sz w:val="24"/>
          <w:szCs w:val="24"/>
        </w:rPr>
        <w:t>3</w:t>
      </w:r>
      <w:r w:rsidRPr="00665206">
        <w:rPr>
          <w:rFonts w:ascii="微软雅黑" w:eastAsia="微软雅黑" w:hAnsi="微软雅黑" w:hint="eastAsia"/>
          <w:sz w:val="24"/>
          <w:szCs w:val="24"/>
        </w:rPr>
        <w:t>0</w:t>
      </w:r>
      <w:r w:rsidRPr="00665206">
        <w:rPr>
          <w:rFonts w:ascii="微软雅黑" w:eastAsia="微软雅黑" w:hAnsi="微软雅黑"/>
          <w:sz w:val="24"/>
          <w:szCs w:val="24"/>
        </w:rPr>
        <w:t>%</w:t>
      </w:r>
      <w:r w:rsidRPr="00665206">
        <w:rPr>
          <w:rFonts w:ascii="微软雅黑" w:eastAsia="微软雅黑" w:hAnsi="微软雅黑" w:hint="eastAsia"/>
          <w:sz w:val="24"/>
          <w:szCs w:val="24"/>
        </w:rPr>
        <w:t>）、大众评审（20%）。</w:t>
      </w:r>
    </w:p>
    <w:p w:rsidR="00B06984" w:rsidRPr="00665206" w:rsidRDefault="003E6769"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354C24" w:rsidRPr="00665206">
        <w:rPr>
          <w:rFonts w:ascii="微软雅黑" w:eastAsia="微软雅黑" w:hAnsi="微软雅黑" w:cs="Times New Roman" w:hint="eastAsia"/>
          <w:bCs w:val="0"/>
          <w:sz w:val="24"/>
          <w:szCs w:val="24"/>
        </w:rPr>
        <w:t>二</w:t>
      </w:r>
      <w:r w:rsidRPr="00665206">
        <w:rPr>
          <w:rFonts w:ascii="微软雅黑" w:eastAsia="微软雅黑" w:hAnsi="微软雅黑" w:cs="Times New Roman" w:hint="eastAsia"/>
          <w:bCs w:val="0"/>
          <w:sz w:val="24"/>
          <w:szCs w:val="24"/>
        </w:rPr>
        <w:t>、</w:t>
      </w:r>
      <w:r w:rsidR="00B06984" w:rsidRPr="00665206">
        <w:rPr>
          <w:rFonts w:ascii="微软雅黑" w:eastAsia="微软雅黑" w:hAnsi="微软雅黑" w:cs="Times New Roman" w:hint="eastAsia"/>
          <w:bCs w:val="0"/>
          <w:sz w:val="24"/>
          <w:szCs w:val="24"/>
        </w:rPr>
        <w:t>评选流程</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sz w:val="24"/>
          <w:szCs w:val="24"/>
        </w:rPr>
        <w:t>1</w:t>
      </w:r>
      <w:r w:rsidRPr="00665206">
        <w:rPr>
          <w:rFonts w:ascii="微软雅黑" w:eastAsia="微软雅黑" w:hAnsi="微软雅黑" w:hint="eastAsia"/>
          <w:sz w:val="24"/>
          <w:szCs w:val="24"/>
        </w:rPr>
        <w:t>、评选</w:t>
      </w:r>
      <w:r w:rsidR="00853AE2" w:rsidRPr="00665206">
        <w:rPr>
          <w:rFonts w:ascii="微软雅黑" w:eastAsia="微软雅黑" w:hAnsi="微软雅黑" w:hint="eastAsia"/>
          <w:sz w:val="24"/>
          <w:szCs w:val="24"/>
        </w:rPr>
        <w:t>启动</w:t>
      </w:r>
    </w:p>
    <w:p w:rsidR="002B0779" w:rsidRPr="00665206" w:rsidRDefault="00B06984" w:rsidP="00FC3478">
      <w:pPr>
        <w:spacing w:line="360" w:lineRule="auto"/>
        <w:ind w:firstLineChars="200" w:firstLine="480"/>
        <w:rPr>
          <w:rFonts w:ascii="微软雅黑" w:eastAsia="微软雅黑" w:hAnsi="微软雅黑"/>
          <w:color w:val="0000CC"/>
          <w:sz w:val="24"/>
          <w:szCs w:val="24"/>
        </w:rPr>
      </w:pPr>
      <w:r w:rsidRPr="00665206">
        <w:rPr>
          <w:rFonts w:ascii="微软雅黑" w:eastAsia="微软雅黑" w:hAnsi="微软雅黑" w:hint="eastAsia"/>
          <w:sz w:val="24"/>
          <w:szCs w:val="24"/>
        </w:rPr>
        <w:t>201</w:t>
      </w:r>
      <w:r w:rsidR="00210074" w:rsidRPr="00665206">
        <w:rPr>
          <w:rFonts w:ascii="微软雅黑" w:eastAsia="微软雅黑" w:hAnsi="微软雅黑"/>
          <w:sz w:val="24"/>
          <w:szCs w:val="24"/>
        </w:rPr>
        <w:t>6</w:t>
      </w:r>
      <w:r w:rsidRPr="00665206">
        <w:rPr>
          <w:rFonts w:ascii="微软雅黑" w:eastAsia="微软雅黑" w:hAnsi="微软雅黑" w:hint="eastAsia"/>
          <w:sz w:val="24"/>
          <w:szCs w:val="24"/>
        </w:rPr>
        <w:t>年</w:t>
      </w:r>
      <w:r w:rsidR="00853AE2" w:rsidRPr="00665206">
        <w:rPr>
          <w:rFonts w:ascii="微软雅黑" w:eastAsia="微软雅黑" w:hAnsi="微软雅黑" w:hint="eastAsia"/>
          <w:sz w:val="24"/>
          <w:szCs w:val="24"/>
        </w:rPr>
        <w:t>1</w:t>
      </w:r>
      <w:r w:rsidRPr="00665206">
        <w:rPr>
          <w:rFonts w:ascii="微软雅黑" w:eastAsia="微软雅黑" w:hAnsi="微软雅黑" w:hint="eastAsia"/>
          <w:sz w:val="24"/>
          <w:szCs w:val="24"/>
        </w:rPr>
        <w:t>月</w:t>
      </w:r>
      <w:r w:rsidR="0064395E"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日</w:t>
      </w:r>
      <w:r w:rsidR="0064395E" w:rsidRPr="00665206">
        <w:rPr>
          <w:rFonts w:ascii="微软雅黑" w:eastAsia="微软雅黑" w:hAnsi="微软雅黑" w:hint="eastAsia"/>
          <w:sz w:val="24"/>
          <w:szCs w:val="24"/>
        </w:rPr>
        <w:t>，发布会</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sz w:val="24"/>
          <w:szCs w:val="24"/>
        </w:rPr>
        <w:t>2</w:t>
      </w:r>
      <w:r w:rsidRPr="00665206">
        <w:rPr>
          <w:rFonts w:ascii="微软雅黑" w:eastAsia="微软雅黑" w:hAnsi="微软雅黑" w:hint="eastAsia"/>
          <w:sz w:val="24"/>
          <w:szCs w:val="24"/>
        </w:rPr>
        <w:t>、公开征集及申报阶段</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201</w:t>
      </w:r>
      <w:r w:rsidR="00A20FCA"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A20FCA" w:rsidRPr="00665206">
        <w:rPr>
          <w:rFonts w:ascii="微软雅黑" w:eastAsia="微软雅黑" w:hAnsi="微软雅黑" w:hint="eastAsia"/>
          <w:sz w:val="24"/>
          <w:szCs w:val="24"/>
        </w:rPr>
        <w:t>1</w:t>
      </w:r>
      <w:r w:rsidRPr="00665206">
        <w:rPr>
          <w:rFonts w:ascii="微软雅黑" w:eastAsia="微软雅黑" w:hAnsi="微软雅黑" w:hint="eastAsia"/>
          <w:sz w:val="24"/>
          <w:szCs w:val="24"/>
        </w:rPr>
        <w:t>月</w:t>
      </w:r>
      <w:r w:rsidR="00171AB3"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日——201</w:t>
      </w:r>
      <w:r w:rsidR="00210074" w:rsidRPr="00665206">
        <w:rPr>
          <w:rFonts w:ascii="微软雅黑" w:eastAsia="微软雅黑" w:hAnsi="微软雅黑"/>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8</w:t>
      </w:r>
      <w:r w:rsidRPr="00665206">
        <w:rPr>
          <w:rFonts w:ascii="微软雅黑" w:eastAsia="微软雅黑" w:hAnsi="微软雅黑" w:hint="eastAsia"/>
          <w:sz w:val="24"/>
          <w:szCs w:val="24"/>
        </w:rPr>
        <w:t>日</w:t>
      </w:r>
    </w:p>
    <w:p w:rsidR="00A20FCA" w:rsidRPr="00665206" w:rsidRDefault="00A20FCA"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3、第三方审议阶段</w:t>
      </w:r>
    </w:p>
    <w:p w:rsidR="00A20FCA" w:rsidRPr="00665206" w:rsidRDefault="00A20FCA"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2016年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9</w:t>
      </w:r>
      <w:r w:rsidRPr="00665206">
        <w:rPr>
          <w:rFonts w:ascii="微软雅黑" w:eastAsia="微软雅黑" w:hAnsi="微软雅黑" w:hint="eastAsia"/>
          <w:sz w:val="24"/>
          <w:szCs w:val="24"/>
        </w:rPr>
        <w:t>日-2016年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11</w:t>
      </w:r>
      <w:r w:rsidRPr="00665206">
        <w:rPr>
          <w:rFonts w:ascii="微软雅黑" w:eastAsia="微软雅黑" w:hAnsi="微软雅黑" w:hint="eastAsia"/>
          <w:sz w:val="24"/>
          <w:szCs w:val="24"/>
        </w:rPr>
        <w:t>日</w:t>
      </w:r>
    </w:p>
    <w:p w:rsidR="00A20FCA" w:rsidRPr="00665206" w:rsidRDefault="00853AE2"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4</w:t>
      </w:r>
      <w:r w:rsidR="00B06984" w:rsidRPr="00665206">
        <w:rPr>
          <w:rFonts w:ascii="微软雅黑" w:eastAsia="微软雅黑" w:hAnsi="微软雅黑" w:hint="eastAsia"/>
          <w:sz w:val="24"/>
          <w:szCs w:val="24"/>
        </w:rPr>
        <w:t>、组委会</w:t>
      </w:r>
      <w:r w:rsidR="00B06984" w:rsidRPr="00665206">
        <w:rPr>
          <w:rFonts w:ascii="微软雅黑" w:eastAsia="微软雅黑" w:hAnsi="微软雅黑"/>
          <w:sz w:val="24"/>
          <w:szCs w:val="24"/>
        </w:rPr>
        <w:t>评审</w:t>
      </w:r>
      <w:r w:rsidR="00A20FCA" w:rsidRPr="00665206">
        <w:rPr>
          <w:rFonts w:ascii="微软雅黑" w:eastAsia="微软雅黑" w:hAnsi="微软雅黑" w:hint="eastAsia"/>
          <w:sz w:val="24"/>
          <w:szCs w:val="24"/>
        </w:rPr>
        <w:t>、专家评审</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201</w:t>
      </w:r>
      <w:r w:rsidR="00A20FCA"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12</w:t>
      </w:r>
      <w:r w:rsidRPr="00665206">
        <w:rPr>
          <w:rFonts w:ascii="微软雅黑" w:eastAsia="微软雅黑" w:hAnsi="微软雅黑" w:hint="eastAsia"/>
          <w:sz w:val="24"/>
          <w:szCs w:val="24"/>
        </w:rPr>
        <w:t>日——201</w:t>
      </w:r>
      <w:r w:rsidR="00A20FCA"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22</w:t>
      </w:r>
      <w:r w:rsidRPr="00665206">
        <w:rPr>
          <w:rFonts w:ascii="微软雅黑" w:eastAsia="微软雅黑" w:hAnsi="微软雅黑" w:hint="eastAsia"/>
          <w:sz w:val="24"/>
          <w:szCs w:val="24"/>
        </w:rPr>
        <w:t>日</w:t>
      </w:r>
    </w:p>
    <w:p w:rsidR="00B06984" w:rsidRPr="00665206" w:rsidRDefault="00853AE2"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5</w:t>
      </w:r>
      <w:r w:rsidR="00B06984" w:rsidRPr="00665206">
        <w:rPr>
          <w:rFonts w:ascii="微软雅黑" w:eastAsia="微软雅黑" w:hAnsi="微软雅黑" w:hint="eastAsia"/>
          <w:sz w:val="24"/>
          <w:szCs w:val="24"/>
        </w:rPr>
        <w:t>、TOP20</w:t>
      </w:r>
      <w:r w:rsidR="00A20FCA" w:rsidRPr="00665206">
        <w:rPr>
          <w:rFonts w:ascii="微软雅黑" w:eastAsia="微软雅黑" w:hAnsi="微软雅黑" w:hint="eastAsia"/>
          <w:sz w:val="24"/>
          <w:szCs w:val="24"/>
        </w:rPr>
        <w:t>入围公示及</w:t>
      </w:r>
      <w:r w:rsidR="00B06984" w:rsidRPr="00665206">
        <w:rPr>
          <w:rFonts w:ascii="微软雅黑" w:eastAsia="微软雅黑" w:hAnsi="微软雅黑" w:hint="eastAsia"/>
          <w:sz w:val="24"/>
          <w:szCs w:val="24"/>
        </w:rPr>
        <w:t>大众</w:t>
      </w:r>
      <w:r w:rsidR="00B06984" w:rsidRPr="00665206">
        <w:rPr>
          <w:rFonts w:ascii="微软雅黑" w:eastAsia="微软雅黑" w:hAnsi="微软雅黑"/>
          <w:sz w:val="24"/>
          <w:szCs w:val="24"/>
        </w:rPr>
        <w:t>投票阶段</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201</w:t>
      </w:r>
      <w:r w:rsidR="00B32758"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23</w:t>
      </w:r>
      <w:r w:rsidRPr="00665206">
        <w:rPr>
          <w:rFonts w:ascii="微软雅黑" w:eastAsia="微软雅黑" w:hAnsi="微软雅黑" w:hint="eastAsia"/>
          <w:sz w:val="24"/>
          <w:szCs w:val="24"/>
        </w:rPr>
        <w:t>日——201</w:t>
      </w:r>
      <w:r w:rsidR="00B32758"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27</w:t>
      </w:r>
      <w:r w:rsidRPr="00665206">
        <w:rPr>
          <w:rFonts w:ascii="微软雅黑" w:eastAsia="微软雅黑" w:hAnsi="微软雅黑" w:hint="eastAsia"/>
          <w:sz w:val="24"/>
          <w:szCs w:val="24"/>
        </w:rPr>
        <w:t>日</w:t>
      </w:r>
    </w:p>
    <w:p w:rsidR="00B06984" w:rsidRPr="00665206" w:rsidRDefault="002B0779"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6</w:t>
      </w:r>
      <w:r w:rsidR="00B06984" w:rsidRPr="00665206">
        <w:rPr>
          <w:rFonts w:ascii="微软雅黑" w:eastAsia="微软雅黑" w:hAnsi="微软雅黑" w:hint="eastAsia"/>
          <w:sz w:val="24"/>
          <w:szCs w:val="24"/>
        </w:rPr>
        <w:t>、终审阶段</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201</w:t>
      </w:r>
      <w:r w:rsidR="00B32758"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5</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28</w:t>
      </w:r>
      <w:r w:rsidRPr="00665206">
        <w:rPr>
          <w:rFonts w:ascii="微软雅黑" w:eastAsia="微软雅黑" w:hAnsi="微软雅黑" w:hint="eastAsia"/>
          <w:sz w:val="24"/>
          <w:szCs w:val="24"/>
        </w:rPr>
        <w:t>日——201</w:t>
      </w:r>
      <w:r w:rsidR="00210074" w:rsidRPr="00665206">
        <w:rPr>
          <w:rFonts w:ascii="微软雅黑" w:eastAsia="微软雅黑" w:hAnsi="微软雅黑"/>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日</w:t>
      </w:r>
    </w:p>
    <w:p w:rsidR="00B06984" w:rsidRPr="00665206" w:rsidRDefault="002B0779"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7</w:t>
      </w:r>
      <w:r w:rsidR="00B06984" w:rsidRPr="00665206">
        <w:rPr>
          <w:rFonts w:ascii="微软雅黑" w:eastAsia="微软雅黑" w:hAnsi="微软雅黑" w:hint="eastAsia"/>
          <w:sz w:val="24"/>
          <w:szCs w:val="24"/>
        </w:rPr>
        <w:t>、最终获奖结果公示及颁奖</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201</w:t>
      </w:r>
      <w:r w:rsidR="00450AF8"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年</w:t>
      </w:r>
      <w:r w:rsidR="00937759" w:rsidRPr="00665206">
        <w:rPr>
          <w:rFonts w:ascii="微软雅黑" w:eastAsia="微软雅黑" w:hAnsi="微软雅黑" w:hint="eastAsia"/>
          <w:sz w:val="24"/>
          <w:szCs w:val="24"/>
        </w:rPr>
        <w:t>6</w:t>
      </w:r>
      <w:r w:rsidRPr="00665206">
        <w:rPr>
          <w:rFonts w:ascii="微软雅黑" w:eastAsia="微软雅黑" w:hAnsi="微软雅黑" w:hint="eastAsia"/>
          <w:sz w:val="24"/>
          <w:szCs w:val="24"/>
        </w:rPr>
        <w:t>月</w:t>
      </w:r>
      <w:r w:rsidR="00937759" w:rsidRPr="00665206">
        <w:rPr>
          <w:rFonts w:ascii="微软雅黑" w:eastAsia="微软雅黑" w:hAnsi="微软雅黑" w:hint="eastAsia"/>
          <w:sz w:val="24"/>
          <w:szCs w:val="24"/>
        </w:rPr>
        <w:t>8</w:t>
      </w:r>
      <w:r w:rsidR="00450AF8" w:rsidRPr="00665206">
        <w:rPr>
          <w:rFonts w:ascii="微软雅黑" w:eastAsia="微软雅黑" w:hAnsi="微软雅黑" w:hint="eastAsia"/>
          <w:sz w:val="24"/>
          <w:szCs w:val="24"/>
        </w:rPr>
        <w:t>日</w:t>
      </w:r>
    </w:p>
    <w:p w:rsidR="00FD67DB" w:rsidRPr="00665206" w:rsidRDefault="00FD67DB"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颁奖地点：</w:t>
      </w:r>
      <w:r w:rsidR="00937759" w:rsidRPr="00665206">
        <w:rPr>
          <w:rFonts w:ascii="微软雅黑" w:eastAsia="微软雅黑" w:hAnsi="微软雅黑" w:hint="eastAsia"/>
          <w:sz w:val="24"/>
          <w:szCs w:val="24"/>
        </w:rPr>
        <w:t>广州（同期2016广州国际照明展会-光亚展期间）</w:t>
      </w:r>
    </w:p>
    <w:p w:rsidR="00B06984" w:rsidRPr="00665206" w:rsidRDefault="00B06984"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354C24" w:rsidRPr="00665206">
        <w:rPr>
          <w:rFonts w:ascii="微软雅黑" w:eastAsia="微软雅黑" w:hAnsi="微软雅黑" w:cs="Times New Roman" w:hint="eastAsia"/>
          <w:bCs w:val="0"/>
          <w:sz w:val="24"/>
          <w:szCs w:val="24"/>
        </w:rPr>
        <w:t>三</w:t>
      </w:r>
      <w:r w:rsidRPr="00665206">
        <w:rPr>
          <w:rFonts w:ascii="微软雅黑" w:eastAsia="微软雅黑" w:hAnsi="微软雅黑" w:cs="Times New Roman" w:hint="eastAsia"/>
          <w:bCs w:val="0"/>
          <w:sz w:val="24"/>
          <w:szCs w:val="24"/>
        </w:rPr>
        <w:t>、评选费用</w:t>
      </w:r>
    </w:p>
    <w:p w:rsidR="00B06984" w:rsidRPr="00665206" w:rsidRDefault="00665F0C" w:rsidP="00FC3478">
      <w:pPr>
        <w:spacing w:line="360" w:lineRule="auto"/>
        <w:ind w:firstLineChars="200" w:firstLine="480"/>
        <w:rPr>
          <w:rFonts w:ascii="微软雅黑" w:eastAsia="微软雅黑" w:hAnsi="微软雅黑"/>
          <w:sz w:val="24"/>
          <w:szCs w:val="24"/>
        </w:rPr>
      </w:pPr>
      <w:r w:rsidRPr="00665F0C">
        <w:rPr>
          <w:rFonts w:ascii="微软雅黑" w:eastAsia="微软雅黑" w:hAnsi="微软雅黑" w:hint="eastAsia"/>
          <w:sz w:val="24"/>
          <w:szCs w:val="24"/>
        </w:rPr>
        <w:t>本次参评报名免费，主办方将收取获奖单位880元的成本费用，包含（牌匾制作费、专家评审费、资料印刷费等）</w:t>
      </w:r>
      <w:r w:rsidR="00A933FA">
        <w:rPr>
          <w:rFonts w:ascii="微软雅黑" w:eastAsia="微软雅黑" w:hAnsi="微软雅黑" w:hint="eastAsia"/>
          <w:sz w:val="24"/>
          <w:szCs w:val="24"/>
        </w:rPr>
        <w:t>。</w:t>
      </w:r>
    </w:p>
    <w:p w:rsidR="00514E75" w:rsidRPr="00665206" w:rsidRDefault="00514E75"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十四、报名方式</w:t>
      </w:r>
    </w:p>
    <w:p w:rsidR="00514E75" w:rsidRPr="00665206" w:rsidRDefault="00514E75" w:rsidP="00651E13">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1、网上报名：登陆官网：</w:t>
      </w:r>
      <w:hyperlink r:id="rId8" w:history="1">
        <w:r w:rsidRPr="00665206">
          <w:rPr>
            <w:rStyle w:val="a5"/>
            <w:rFonts w:ascii="微软雅黑" w:eastAsia="微软雅黑" w:hAnsi="微软雅黑"/>
            <w:sz w:val="24"/>
            <w:szCs w:val="24"/>
          </w:rPr>
          <w:t>http://zt.gscled.com/top10</w:t>
        </w:r>
      </w:hyperlink>
      <w:r w:rsidRPr="00665206">
        <w:rPr>
          <w:rFonts w:ascii="微软雅黑" w:eastAsia="微软雅黑" w:hAnsi="微软雅黑" w:hint="eastAsia"/>
          <w:sz w:val="24"/>
          <w:szCs w:val="24"/>
        </w:rPr>
        <w:t xml:space="preserve"> 下载“</w:t>
      </w:r>
      <w:r w:rsidR="008C339E">
        <w:rPr>
          <w:rFonts w:ascii="微软雅黑" w:eastAsia="微软雅黑" w:hAnsi="微软雅黑" w:hint="eastAsia"/>
          <w:sz w:val="24"/>
          <w:szCs w:val="24"/>
        </w:rPr>
        <w:t>第二届中国LED企业国际竞争力TOP10评选</w:t>
      </w:r>
      <w:r w:rsidRPr="00665206">
        <w:rPr>
          <w:rFonts w:ascii="微软雅黑" w:eastAsia="微软雅黑" w:hAnsi="微软雅黑" w:hint="eastAsia"/>
          <w:sz w:val="24"/>
          <w:szCs w:val="24"/>
        </w:rPr>
        <w:t>申报书”</w:t>
      </w:r>
      <w:r w:rsidR="008B4B6D">
        <w:rPr>
          <w:rFonts w:ascii="微软雅黑" w:eastAsia="微软雅黑" w:hAnsi="微软雅黑" w:hint="eastAsia"/>
          <w:sz w:val="24"/>
          <w:szCs w:val="24"/>
        </w:rPr>
        <w:t>，填好后发送</w:t>
      </w:r>
      <w:r w:rsidRPr="00665206">
        <w:rPr>
          <w:rFonts w:ascii="微软雅黑" w:eastAsia="微软雅黑" w:hAnsi="微软雅黑" w:hint="eastAsia"/>
          <w:sz w:val="24"/>
          <w:szCs w:val="24"/>
        </w:rPr>
        <w:t>至</w:t>
      </w:r>
      <w:hyperlink r:id="rId9" w:history="1">
        <w:r w:rsidRPr="00665206">
          <w:rPr>
            <w:rStyle w:val="a5"/>
            <w:rFonts w:ascii="微软雅黑" w:eastAsia="微软雅黑" w:hAnsi="微软雅黑" w:hint="eastAsia"/>
            <w:sz w:val="24"/>
            <w:szCs w:val="24"/>
          </w:rPr>
          <w:t>top10@gscled.com</w:t>
        </w:r>
      </w:hyperlink>
      <w:r w:rsidRPr="00665206">
        <w:rPr>
          <w:rFonts w:ascii="微软雅黑" w:eastAsia="微软雅黑" w:hAnsi="微软雅黑" w:hint="eastAsia"/>
          <w:sz w:val="24"/>
          <w:szCs w:val="24"/>
        </w:rPr>
        <w:t xml:space="preserve"> </w:t>
      </w:r>
      <w:r w:rsidR="005E4727">
        <w:rPr>
          <w:rFonts w:ascii="微软雅黑" w:eastAsia="微软雅黑" w:hAnsi="微软雅黑" w:hint="eastAsia"/>
          <w:sz w:val="24"/>
          <w:szCs w:val="24"/>
        </w:rPr>
        <w:t>；</w:t>
      </w:r>
    </w:p>
    <w:p w:rsidR="00514E75" w:rsidRPr="00665206" w:rsidRDefault="00514E75"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 xml:space="preserve">2、线下报名：陈美姣 </w:t>
      </w:r>
      <w:r w:rsidR="00651E13">
        <w:rPr>
          <w:rFonts w:ascii="微软雅黑" w:eastAsia="微软雅黑" w:hAnsi="微软雅黑" w:hint="eastAsia"/>
          <w:sz w:val="24"/>
          <w:szCs w:val="24"/>
        </w:rPr>
        <w:t xml:space="preserve"> 手机：</w:t>
      </w:r>
      <w:r w:rsidRPr="00665206">
        <w:rPr>
          <w:rFonts w:ascii="微软雅黑" w:eastAsia="微软雅黑" w:hAnsi="微软雅黑" w:hint="eastAsia"/>
          <w:sz w:val="24"/>
          <w:szCs w:val="24"/>
        </w:rPr>
        <w:t xml:space="preserve">18902289757 </w:t>
      </w:r>
      <w:r w:rsidR="00E633BC">
        <w:rPr>
          <w:rFonts w:ascii="微软雅黑" w:eastAsia="微软雅黑" w:hAnsi="微软雅黑" w:hint="eastAsia"/>
          <w:sz w:val="24"/>
          <w:szCs w:val="24"/>
        </w:rPr>
        <w:t>座机</w:t>
      </w:r>
      <w:r w:rsidR="00651E13">
        <w:rPr>
          <w:rFonts w:ascii="微软雅黑" w:eastAsia="微软雅黑" w:hAnsi="微软雅黑" w:hint="eastAsia"/>
          <w:sz w:val="24"/>
          <w:szCs w:val="24"/>
        </w:rPr>
        <w:t>：0757-63860999-8133</w:t>
      </w:r>
      <w:r w:rsidR="008B4B6D">
        <w:rPr>
          <w:rFonts w:ascii="微软雅黑" w:eastAsia="微软雅黑" w:hAnsi="微软雅黑" w:hint="eastAsia"/>
          <w:sz w:val="24"/>
          <w:szCs w:val="24"/>
        </w:rPr>
        <w:t>；</w:t>
      </w:r>
    </w:p>
    <w:p w:rsidR="00B06984" w:rsidRPr="00665206" w:rsidRDefault="00B06984"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514E75" w:rsidRPr="00665206">
        <w:rPr>
          <w:rFonts w:ascii="微软雅黑" w:eastAsia="微软雅黑" w:hAnsi="微软雅黑" w:cs="Times New Roman" w:hint="eastAsia"/>
          <w:bCs w:val="0"/>
          <w:sz w:val="24"/>
          <w:szCs w:val="24"/>
        </w:rPr>
        <w:t>五</w:t>
      </w:r>
      <w:r w:rsidRPr="00665206">
        <w:rPr>
          <w:rFonts w:ascii="微软雅黑" w:eastAsia="微软雅黑" w:hAnsi="微软雅黑" w:cs="Times New Roman" w:hint="eastAsia"/>
          <w:bCs w:val="0"/>
          <w:sz w:val="24"/>
          <w:szCs w:val="24"/>
        </w:rPr>
        <w:t>、评选声明</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（一）参评单位有权自愿选择参加此次评选活动，参评单位一旦参加本次评选的任何一个环节或全部即视为已完全了解并完全接受本活动规则及各项条款；</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（二）所有参评者有义务无偿授权主办方传播、展览、出版参评产品；</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（三）如未能评选出合适的奖项，主办方保留不颁发任何一个奖项的权利；</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四）参评者应自行承担其参加本次评选的全部责任，如发现参评者、参评材料有不符合参评条件的情形，组委会有权在评选中的任一阶段取消其参评资格，收回其所获之奖项，由此造成主办方损失的，概由参评者承担；</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五）除本规则另有明确规定外，就参评材料提交、展览、公示、宣传与出版等一切事项，参评单位无权向主办方主张获得任何补偿、对价、报酬、费用承担的权利，亦无权要求享有任何特殊权利或分享举办方因相关活动所获取的任何权益、收益；</w:t>
      </w:r>
    </w:p>
    <w:p w:rsidR="00B06984" w:rsidRPr="00665206" w:rsidRDefault="00B0698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（六）本次评选全过程公正、公平、公开</w:t>
      </w:r>
      <w:r w:rsidR="00FD67DB" w:rsidRPr="00665206">
        <w:rPr>
          <w:rFonts w:ascii="微软雅黑" w:eastAsia="微软雅黑" w:hAnsi="微软雅黑" w:hint="eastAsia"/>
          <w:sz w:val="24"/>
          <w:szCs w:val="24"/>
        </w:rPr>
        <w:t>。</w:t>
      </w:r>
    </w:p>
    <w:p w:rsidR="00B06984" w:rsidRPr="00665206" w:rsidRDefault="00B06984"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514E75" w:rsidRPr="00665206">
        <w:rPr>
          <w:rFonts w:ascii="微软雅黑" w:eastAsia="微软雅黑" w:hAnsi="微软雅黑" w:cs="Times New Roman" w:hint="eastAsia"/>
          <w:bCs w:val="0"/>
          <w:sz w:val="24"/>
          <w:szCs w:val="24"/>
        </w:rPr>
        <w:t>六</w:t>
      </w:r>
      <w:r w:rsidRPr="00665206">
        <w:rPr>
          <w:rFonts w:ascii="微软雅黑" w:eastAsia="微软雅黑" w:hAnsi="微软雅黑" w:cs="Times New Roman" w:hint="eastAsia"/>
          <w:bCs w:val="0"/>
          <w:sz w:val="24"/>
          <w:szCs w:val="24"/>
        </w:rPr>
        <w:t>、</w:t>
      </w:r>
      <w:r w:rsidR="00FE18D7" w:rsidRPr="00665206">
        <w:rPr>
          <w:rFonts w:ascii="微软雅黑" w:eastAsia="微软雅黑" w:hAnsi="微软雅黑" w:cs="Times New Roman" w:hint="eastAsia"/>
          <w:bCs w:val="0"/>
          <w:sz w:val="24"/>
          <w:szCs w:val="24"/>
        </w:rPr>
        <w:t>媒体</w:t>
      </w:r>
      <w:r w:rsidRPr="00665206">
        <w:rPr>
          <w:rFonts w:ascii="微软雅黑" w:eastAsia="微软雅黑" w:hAnsi="微软雅黑" w:cs="Times New Roman" w:hint="eastAsia"/>
          <w:bCs w:val="0"/>
          <w:sz w:val="24"/>
          <w:szCs w:val="24"/>
        </w:rPr>
        <w:t>宣传</w:t>
      </w:r>
    </w:p>
    <w:p w:rsidR="003602E4" w:rsidRPr="00665206" w:rsidRDefault="003602E4"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sz w:val="24"/>
          <w:szCs w:val="24"/>
        </w:rPr>
        <w:t>所有参评单位将有机会参与以下评选官方组织的宣传推广活动：</w:t>
      </w:r>
      <w:r w:rsidRPr="00665206">
        <w:rPr>
          <w:rFonts w:ascii="微软雅黑" w:eastAsia="微软雅黑" w:hAnsi="微软雅黑"/>
          <w:sz w:val="24"/>
          <w:szCs w:val="24"/>
        </w:rPr>
        <w:br/>
      </w:r>
      <w:r w:rsidRPr="00665206">
        <w:rPr>
          <w:rFonts w:ascii="微软雅黑" w:eastAsia="微软雅黑" w:hAnsi="微软雅黑" w:hint="eastAsia"/>
          <w:sz w:val="24"/>
          <w:szCs w:val="24"/>
        </w:rPr>
        <w:t xml:space="preserve">    </w:t>
      </w:r>
      <w:r w:rsidRPr="00665206">
        <w:rPr>
          <w:rFonts w:ascii="微软雅黑" w:eastAsia="微软雅黑" w:hAnsi="微软雅黑"/>
          <w:sz w:val="24"/>
          <w:szCs w:val="24"/>
        </w:rPr>
        <w:t>进行媒体采访及宣传报道，并广泛发布在活动的官方媒体“新兴产业战略智库”、《LED市场》杂志、《广东LED》以及国内外行业及大众媒体上，让行业小伙伴们、用户都认识你们；</w:t>
      </w:r>
      <w:r w:rsidRPr="00665206">
        <w:rPr>
          <w:rFonts w:ascii="微软雅黑" w:eastAsia="微软雅黑" w:hAnsi="微软雅黑" w:cs="Calibri"/>
          <w:sz w:val="24"/>
          <w:szCs w:val="24"/>
        </w:rPr>
        <w:t> </w:t>
      </w:r>
      <w:r w:rsidRPr="00665206">
        <w:rPr>
          <w:rFonts w:ascii="微软雅黑" w:eastAsia="微软雅黑" w:hAnsi="微软雅黑"/>
          <w:sz w:val="24"/>
          <w:szCs w:val="24"/>
        </w:rPr>
        <w:br/>
      </w:r>
      <w:r w:rsidRPr="00665206">
        <w:rPr>
          <w:rFonts w:ascii="微软雅黑" w:eastAsia="微软雅黑" w:hAnsi="微软雅黑" w:hint="eastAsia"/>
          <w:sz w:val="24"/>
          <w:szCs w:val="24"/>
        </w:rPr>
        <w:t xml:space="preserve">    </w:t>
      </w:r>
      <w:r w:rsidRPr="00665206">
        <w:rPr>
          <w:rFonts w:ascii="微软雅黑" w:eastAsia="微软雅黑" w:hAnsi="微软雅黑"/>
          <w:sz w:val="24"/>
          <w:szCs w:val="24"/>
        </w:rPr>
        <w:t>能够参与活动专业画册的制订，择优报道参评单位，包括参评单位的LOGO、简介等；</w:t>
      </w:r>
      <w:r w:rsidRPr="00665206">
        <w:rPr>
          <w:rFonts w:ascii="微软雅黑" w:eastAsia="微软雅黑" w:hAnsi="微软雅黑"/>
          <w:sz w:val="24"/>
          <w:szCs w:val="24"/>
        </w:rPr>
        <w:br/>
        <w:t xml:space="preserve">    能够参与微信、微博、短信、邮件等的滚动宣传，可在活动新闻稿上进行参评单位名植入、参评单位简介、参评单位活动评价内容植入等；</w:t>
      </w:r>
      <w:r w:rsidRPr="00665206">
        <w:rPr>
          <w:rFonts w:ascii="微软雅黑" w:eastAsia="微软雅黑" w:hAnsi="微软雅黑"/>
          <w:sz w:val="24"/>
          <w:szCs w:val="24"/>
        </w:rPr>
        <w:br/>
      </w:r>
      <w:r w:rsidRPr="00665206">
        <w:rPr>
          <w:rFonts w:ascii="微软雅黑" w:eastAsia="微软雅黑" w:hAnsi="微软雅黑" w:hint="eastAsia"/>
          <w:sz w:val="24"/>
          <w:szCs w:val="24"/>
        </w:rPr>
        <w:t xml:space="preserve">   </w:t>
      </w:r>
      <w:r w:rsidR="00605159">
        <w:rPr>
          <w:rFonts w:ascii="微软雅黑" w:eastAsia="微软雅黑" w:hAnsi="微软雅黑" w:hint="eastAsia"/>
          <w:sz w:val="24"/>
          <w:szCs w:val="24"/>
        </w:rPr>
        <w:t xml:space="preserve"> </w:t>
      </w:r>
      <w:r w:rsidR="00FE545E" w:rsidRPr="00665206">
        <w:rPr>
          <w:rFonts w:ascii="微软雅黑" w:eastAsia="微软雅黑" w:hAnsi="微软雅黑"/>
          <w:sz w:val="24"/>
          <w:szCs w:val="24"/>
        </w:rPr>
        <w:t>作为活动的参与单位，能够列名活动视频制作中的鸣谢单位</w:t>
      </w:r>
      <w:r w:rsidR="00FE545E" w:rsidRPr="00665206">
        <w:rPr>
          <w:rFonts w:ascii="微软雅黑" w:eastAsia="微软雅黑" w:hAnsi="微软雅黑" w:hint="eastAsia"/>
          <w:sz w:val="24"/>
          <w:szCs w:val="24"/>
        </w:rPr>
        <w:t>；</w:t>
      </w:r>
      <w:r w:rsidRPr="00665206">
        <w:rPr>
          <w:rFonts w:ascii="微软雅黑" w:eastAsia="微软雅黑" w:hAnsi="微软雅黑"/>
          <w:sz w:val="24"/>
          <w:szCs w:val="24"/>
        </w:rPr>
        <w:br/>
        <w:t xml:space="preserve">    可免费参与主办方向海内外业主、工程商、买家、渠道商、投资机构等的推介活动以及主办方所举办的其他相关行业活动！ </w:t>
      </w:r>
    </w:p>
    <w:p w:rsidR="007377B7" w:rsidRPr="00665206" w:rsidRDefault="00B06984" w:rsidP="00FC3478">
      <w:pPr>
        <w:pStyle w:val="2"/>
        <w:spacing w:before="0" w:after="0" w:line="360" w:lineRule="auto"/>
        <w:rPr>
          <w:rFonts w:ascii="微软雅黑" w:eastAsia="微软雅黑" w:hAnsi="微软雅黑" w:cs="Times New Roman"/>
          <w:bCs w:val="0"/>
          <w:sz w:val="24"/>
          <w:szCs w:val="24"/>
        </w:rPr>
      </w:pPr>
      <w:r w:rsidRPr="00665206">
        <w:rPr>
          <w:rFonts w:ascii="微软雅黑" w:eastAsia="微软雅黑" w:hAnsi="微软雅黑" w:cs="Times New Roman" w:hint="eastAsia"/>
          <w:bCs w:val="0"/>
          <w:sz w:val="24"/>
          <w:szCs w:val="24"/>
        </w:rPr>
        <w:t>十</w:t>
      </w:r>
      <w:r w:rsidR="00514E75" w:rsidRPr="00665206">
        <w:rPr>
          <w:rFonts w:ascii="微软雅黑" w:eastAsia="微软雅黑" w:hAnsi="微软雅黑" w:cs="Times New Roman" w:hint="eastAsia"/>
          <w:bCs w:val="0"/>
          <w:sz w:val="24"/>
          <w:szCs w:val="24"/>
        </w:rPr>
        <w:t>七</w:t>
      </w:r>
      <w:r w:rsidRPr="00665206">
        <w:rPr>
          <w:rFonts w:ascii="微软雅黑" w:eastAsia="微软雅黑" w:hAnsi="微软雅黑" w:cs="Times New Roman" w:hint="eastAsia"/>
          <w:bCs w:val="0"/>
          <w:sz w:val="24"/>
          <w:szCs w:val="24"/>
        </w:rPr>
        <w:t>、评选组委会</w:t>
      </w:r>
    </w:p>
    <w:p w:rsidR="00A0112B" w:rsidRPr="00665206" w:rsidRDefault="00A0112B" w:rsidP="00FC3478">
      <w:pPr>
        <w:spacing w:line="360" w:lineRule="auto"/>
        <w:ind w:firstLineChars="200" w:firstLine="480"/>
        <w:rPr>
          <w:rFonts w:ascii="微软雅黑" w:eastAsia="微软雅黑" w:hAnsi="微软雅黑"/>
          <w:b/>
          <w:sz w:val="24"/>
          <w:szCs w:val="24"/>
        </w:rPr>
      </w:pPr>
      <w:r w:rsidRPr="00665206">
        <w:rPr>
          <w:rFonts w:ascii="微软雅黑" w:eastAsia="微软雅黑" w:hAnsi="微软雅黑" w:hint="eastAsia"/>
          <w:b/>
          <w:sz w:val="24"/>
          <w:szCs w:val="24"/>
        </w:rPr>
        <w:t>（一）</w:t>
      </w:r>
      <w:r w:rsidR="002C7AE4" w:rsidRPr="00665206">
        <w:rPr>
          <w:rFonts w:ascii="微软雅黑" w:eastAsia="微软雅黑" w:hAnsi="微软雅黑" w:hint="eastAsia"/>
          <w:b/>
          <w:sz w:val="24"/>
          <w:szCs w:val="24"/>
        </w:rPr>
        <w:t>评审</w:t>
      </w:r>
      <w:r w:rsidRPr="00665206">
        <w:rPr>
          <w:rFonts w:ascii="微软雅黑" w:eastAsia="微软雅黑" w:hAnsi="微软雅黑" w:hint="eastAsia"/>
          <w:b/>
          <w:sz w:val="24"/>
          <w:szCs w:val="24"/>
        </w:rPr>
        <w:t>专家组成员</w:t>
      </w:r>
      <w:r w:rsidR="002C7AE4" w:rsidRPr="00665206">
        <w:rPr>
          <w:rFonts w:ascii="微软雅黑" w:eastAsia="微软雅黑" w:hAnsi="微软雅黑" w:hint="eastAsia"/>
          <w:b/>
          <w:sz w:val="24"/>
          <w:szCs w:val="24"/>
        </w:rPr>
        <w:t>（待定</w:t>
      </w:r>
      <w:r w:rsidR="002C7AE4" w:rsidRPr="00665206">
        <w:rPr>
          <w:rFonts w:ascii="微软雅黑" w:eastAsia="微软雅黑" w:hAnsi="微软雅黑"/>
          <w:b/>
          <w:sz w:val="24"/>
          <w:szCs w:val="24"/>
        </w:rPr>
        <w:t>）</w:t>
      </w:r>
    </w:p>
    <w:p w:rsidR="00FE545E" w:rsidRPr="00665206" w:rsidRDefault="000F7AE8"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1</w:t>
      </w:r>
      <w:r w:rsidR="008647DA" w:rsidRPr="00665206">
        <w:rPr>
          <w:rFonts w:ascii="微软雅黑" w:eastAsia="微软雅黑" w:hAnsi="微软雅黑" w:hint="eastAsia"/>
          <w:sz w:val="24"/>
          <w:szCs w:val="24"/>
        </w:rPr>
        <w:t>.</w:t>
      </w:r>
      <w:r w:rsidR="00FE545E" w:rsidRPr="00665206">
        <w:rPr>
          <w:rFonts w:ascii="微软雅黑" w:eastAsia="微软雅黑" w:hAnsi="微软雅黑" w:hint="eastAsia"/>
          <w:sz w:val="24"/>
          <w:szCs w:val="24"/>
        </w:rPr>
        <w:t>工信部电子贸促会</w:t>
      </w:r>
      <w:r w:rsidR="00651E13" w:rsidRPr="00665206">
        <w:rPr>
          <w:rFonts w:ascii="微软雅黑" w:eastAsia="微软雅黑" w:hAnsi="微软雅黑" w:hint="eastAsia"/>
          <w:sz w:val="24"/>
          <w:szCs w:val="24"/>
        </w:rPr>
        <w:t>副秘书长</w:t>
      </w:r>
      <w:r w:rsidR="00651E13">
        <w:rPr>
          <w:rFonts w:ascii="微软雅黑" w:eastAsia="微软雅黑" w:hAnsi="微软雅黑" w:hint="eastAsia"/>
          <w:sz w:val="24"/>
          <w:szCs w:val="24"/>
        </w:rPr>
        <w:t xml:space="preserve">  </w:t>
      </w:r>
      <w:r w:rsidR="00FE545E" w:rsidRPr="00665206">
        <w:rPr>
          <w:rFonts w:ascii="微软雅黑" w:eastAsia="微软雅黑" w:hAnsi="微软雅黑" w:hint="eastAsia"/>
          <w:sz w:val="24"/>
          <w:szCs w:val="24"/>
        </w:rPr>
        <w:t xml:space="preserve">殷惠  </w:t>
      </w:r>
    </w:p>
    <w:p w:rsidR="00354C24" w:rsidRPr="00665206" w:rsidRDefault="000F7AE8"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2</w:t>
      </w:r>
      <w:r w:rsidR="008647DA" w:rsidRPr="00665206">
        <w:rPr>
          <w:rFonts w:ascii="微软雅黑" w:eastAsia="微软雅黑" w:hAnsi="微软雅黑" w:hint="eastAsia"/>
          <w:sz w:val="24"/>
          <w:szCs w:val="24"/>
        </w:rPr>
        <w:t>.</w:t>
      </w:r>
      <w:r w:rsidR="00651E13" w:rsidRPr="00665206">
        <w:rPr>
          <w:rFonts w:ascii="微软雅黑" w:eastAsia="微软雅黑" w:hAnsi="微软雅黑" w:hint="eastAsia"/>
          <w:sz w:val="24"/>
          <w:szCs w:val="24"/>
        </w:rPr>
        <w:t>工业和信息化部电子第五研究所高工  许少辉</w:t>
      </w:r>
      <w:r w:rsidR="00FE545E" w:rsidRPr="00665206">
        <w:rPr>
          <w:rFonts w:ascii="微软雅黑" w:eastAsia="微软雅黑" w:hAnsi="微软雅黑" w:hint="eastAsia"/>
          <w:sz w:val="24"/>
          <w:szCs w:val="24"/>
        </w:rPr>
        <w:t xml:space="preserve"> </w:t>
      </w:r>
    </w:p>
    <w:p w:rsidR="008647DA" w:rsidRPr="00665206" w:rsidRDefault="000F7AE8" w:rsidP="00FC3478">
      <w:pPr>
        <w:spacing w:line="360" w:lineRule="auto"/>
        <w:ind w:firstLineChars="200" w:firstLine="480"/>
        <w:rPr>
          <w:rFonts w:ascii="微软雅黑" w:eastAsia="微软雅黑" w:hAnsi="微软雅黑"/>
          <w:color w:val="0000FF"/>
          <w:sz w:val="24"/>
          <w:szCs w:val="24"/>
        </w:rPr>
      </w:pPr>
      <w:r w:rsidRPr="00665206">
        <w:rPr>
          <w:rFonts w:ascii="微软雅黑" w:eastAsia="微软雅黑" w:hAnsi="微软雅黑" w:hint="eastAsia"/>
          <w:sz w:val="24"/>
          <w:szCs w:val="24"/>
        </w:rPr>
        <w:t>3</w:t>
      </w:r>
      <w:r w:rsidR="008647DA" w:rsidRPr="00665206">
        <w:rPr>
          <w:rFonts w:ascii="微软雅黑" w:eastAsia="微软雅黑" w:hAnsi="微软雅黑" w:hint="eastAsia"/>
          <w:sz w:val="24"/>
          <w:szCs w:val="24"/>
        </w:rPr>
        <w:t>.广东国际战略研究院副秘书长</w:t>
      </w:r>
      <w:r w:rsidR="00651E13">
        <w:rPr>
          <w:rFonts w:ascii="微软雅黑" w:eastAsia="微软雅黑" w:hAnsi="微软雅黑" w:hint="eastAsia"/>
          <w:sz w:val="24"/>
          <w:szCs w:val="24"/>
        </w:rPr>
        <w:t>、</w:t>
      </w:r>
      <w:r w:rsidR="008647DA" w:rsidRPr="00665206">
        <w:rPr>
          <w:rFonts w:ascii="微软雅黑" w:eastAsia="微软雅黑" w:hAnsi="微软雅黑" w:hint="eastAsia"/>
          <w:sz w:val="24"/>
          <w:szCs w:val="24"/>
        </w:rPr>
        <w:t>教授</w:t>
      </w:r>
      <w:r w:rsidR="00651E13">
        <w:rPr>
          <w:rFonts w:ascii="微软雅黑" w:eastAsia="微软雅黑" w:hAnsi="微软雅黑" w:hint="eastAsia"/>
          <w:sz w:val="24"/>
          <w:szCs w:val="24"/>
        </w:rPr>
        <w:t xml:space="preserve">  </w:t>
      </w:r>
      <w:r w:rsidR="00651E13" w:rsidRPr="00665206">
        <w:rPr>
          <w:rFonts w:ascii="微软雅黑" w:eastAsia="微软雅黑" w:hAnsi="微软雅黑" w:hint="eastAsia"/>
          <w:sz w:val="24"/>
          <w:szCs w:val="24"/>
        </w:rPr>
        <w:t>曾楚宏</w:t>
      </w:r>
    </w:p>
    <w:p w:rsidR="008647DA" w:rsidRPr="00665206" w:rsidRDefault="000F7AE8"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4</w:t>
      </w:r>
      <w:r w:rsidR="008647DA" w:rsidRPr="00665206">
        <w:rPr>
          <w:rFonts w:ascii="微软雅黑" w:eastAsia="微软雅黑" w:hAnsi="微软雅黑" w:hint="eastAsia"/>
          <w:sz w:val="24"/>
          <w:szCs w:val="24"/>
        </w:rPr>
        <w:t>.</w:t>
      </w:r>
      <w:r w:rsidR="00651E13" w:rsidRPr="00665206">
        <w:rPr>
          <w:rFonts w:ascii="微软雅黑" w:eastAsia="微软雅黑" w:hAnsi="微软雅黑" w:hint="eastAsia"/>
          <w:sz w:val="24"/>
          <w:szCs w:val="24"/>
        </w:rPr>
        <w:t xml:space="preserve">广东省半导体光源产业协会会长  陈志祥  </w:t>
      </w:r>
    </w:p>
    <w:p w:rsidR="00D2659B" w:rsidRPr="00665206" w:rsidRDefault="000F7AE8" w:rsidP="00FC3478">
      <w:pPr>
        <w:spacing w:line="360" w:lineRule="auto"/>
        <w:ind w:firstLineChars="200" w:firstLine="480"/>
        <w:rPr>
          <w:rFonts w:ascii="微软雅黑" w:eastAsia="微软雅黑" w:hAnsi="微软雅黑"/>
          <w:color w:val="0000FF"/>
          <w:sz w:val="24"/>
          <w:szCs w:val="24"/>
        </w:rPr>
      </w:pPr>
      <w:r w:rsidRPr="00665206">
        <w:rPr>
          <w:rFonts w:ascii="微软雅黑" w:eastAsia="微软雅黑" w:hAnsi="微软雅黑" w:hint="eastAsia"/>
          <w:sz w:val="24"/>
          <w:szCs w:val="24"/>
        </w:rPr>
        <w:t>5</w:t>
      </w:r>
      <w:r w:rsidR="00651E13">
        <w:rPr>
          <w:rFonts w:ascii="微软雅黑" w:eastAsia="微软雅黑" w:hAnsi="微软雅黑" w:hint="eastAsia"/>
          <w:sz w:val="24"/>
          <w:szCs w:val="24"/>
        </w:rPr>
        <w:t>.</w:t>
      </w:r>
      <w:r w:rsidR="00651E13" w:rsidRPr="00665206">
        <w:rPr>
          <w:rFonts w:ascii="微软雅黑" w:eastAsia="微软雅黑" w:hAnsi="微软雅黑" w:hint="eastAsia"/>
          <w:sz w:val="24"/>
          <w:szCs w:val="24"/>
        </w:rPr>
        <w:t xml:space="preserve">广东省半导体照明产业联合创新中心主任 </w:t>
      </w:r>
      <w:r w:rsidR="00651E13">
        <w:rPr>
          <w:rFonts w:ascii="微软雅黑" w:eastAsia="微软雅黑" w:hAnsi="微软雅黑" w:hint="eastAsia"/>
          <w:sz w:val="24"/>
          <w:szCs w:val="24"/>
        </w:rPr>
        <w:t xml:space="preserve"> </w:t>
      </w:r>
      <w:r w:rsidR="00651E13" w:rsidRPr="00665206">
        <w:rPr>
          <w:rFonts w:ascii="微软雅黑" w:eastAsia="微软雅黑" w:hAnsi="微软雅黑" w:hint="eastAsia"/>
          <w:sz w:val="24"/>
          <w:szCs w:val="24"/>
        </w:rPr>
        <w:t>眭世荣</w:t>
      </w:r>
    </w:p>
    <w:p w:rsidR="00605159" w:rsidRDefault="000F7AE8"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6</w:t>
      </w:r>
      <w:r w:rsidR="00D2659B" w:rsidRPr="00665206">
        <w:rPr>
          <w:rFonts w:ascii="微软雅黑" w:eastAsia="微软雅黑" w:hAnsi="微软雅黑" w:hint="eastAsia"/>
          <w:sz w:val="24"/>
          <w:szCs w:val="24"/>
        </w:rPr>
        <w:t>.</w:t>
      </w:r>
      <w:r w:rsidR="00605159" w:rsidRPr="00665206">
        <w:rPr>
          <w:rFonts w:ascii="微软雅黑" w:eastAsia="微软雅黑" w:hAnsi="微软雅黑" w:hint="eastAsia"/>
          <w:sz w:val="24"/>
          <w:szCs w:val="24"/>
        </w:rPr>
        <w:t>广东省标院战略性新兴产业标准化技术与应用研究所所长</w:t>
      </w:r>
      <w:r w:rsidR="00605159">
        <w:rPr>
          <w:rFonts w:ascii="微软雅黑" w:eastAsia="微软雅黑" w:hAnsi="微软雅黑" w:hint="eastAsia"/>
          <w:sz w:val="24"/>
          <w:szCs w:val="24"/>
        </w:rPr>
        <w:t xml:space="preserve">  </w:t>
      </w:r>
      <w:r w:rsidR="00605159" w:rsidRPr="00665206">
        <w:rPr>
          <w:rFonts w:ascii="微软雅黑" w:eastAsia="微软雅黑" w:hAnsi="微软雅黑" w:hint="eastAsia"/>
          <w:sz w:val="24"/>
          <w:szCs w:val="24"/>
        </w:rPr>
        <w:t>徐晨</w:t>
      </w:r>
    </w:p>
    <w:p w:rsidR="00651E13" w:rsidRDefault="000F7AE8"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7.</w:t>
      </w:r>
      <w:r w:rsidR="00651E13" w:rsidRPr="00651E13">
        <w:rPr>
          <w:rFonts w:ascii="微软雅黑" w:eastAsia="微软雅黑" w:hAnsi="微软雅黑" w:hint="eastAsia"/>
          <w:sz w:val="24"/>
          <w:szCs w:val="24"/>
        </w:rPr>
        <w:t>国家半导体照明工程研发及产业联盟</w:t>
      </w:r>
      <w:r w:rsidR="00651E13" w:rsidRPr="00665206">
        <w:rPr>
          <w:rFonts w:ascii="微软雅黑" w:eastAsia="微软雅黑" w:hAnsi="微软雅黑" w:hint="eastAsia"/>
          <w:sz w:val="24"/>
          <w:szCs w:val="24"/>
        </w:rPr>
        <w:t xml:space="preserve">副秘书长  阮军 </w:t>
      </w:r>
    </w:p>
    <w:p w:rsidR="00D2659B" w:rsidRPr="00665206" w:rsidRDefault="000F7AE8"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8</w:t>
      </w:r>
      <w:r w:rsidR="00D2659B" w:rsidRPr="00665206">
        <w:rPr>
          <w:rFonts w:ascii="微软雅黑" w:eastAsia="微软雅黑" w:hAnsi="微软雅黑" w:hint="eastAsia"/>
          <w:sz w:val="24"/>
          <w:szCs w:val="24"/>
        </w:rPr>
        <w:t>.LED国际合作促进联盟专家顾问委员会委员</w:t>
      </w:r>
      <w:r w:rsidR="00651E13">
        <w:rPr>
          <w:rFonts w:ascii="微软雅黑" w:eastAsia="微软雅黑" w:hAnsi="微软雅黑" w:hint="eastAsia"/>
          <w:sz w:val="24"/>
          <w:szCs w:val="24"/>
        </w:rPr>
        <w:t xml:space="preserve">  </w:t>
      </w:r>
      <w:r w:rsidR="00651E13" w:rsidRPr="00665206">
        <w:rPr>
          <w:rFonts w:ascii="微软雅黑" w:eastAsia="微软雅黑" w:hAnsi="微软雅黑" w:hint="eastAsia"/>
          <w:sz w:val="24"/>
          <w:szCs w:val="24"/>
        </w:rPr>
        <w:t xml:space="preserve">刘彤  </w:t>
      </w:r>
    </w:p>
    <w:p w:rsidR="00C96368" w:rsidRDefault="003B2E69"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9.</w:t>
      </w:r>
      <w:r w:rsidR="00C96368" w:rsidRPr="00665206">
        <w:rPr>
          <w:rFonts w:ascii="微软雅黑" w:eastAsia="微软雅黑" w:hAnsi="微软雅黑" w:hint="eastAsia"/>
          <w:sz w:val="24"/>
          <w:szCs w:val="24"/>
        </w:rPr>
        <w:t>中国照明电器协会理事长</w:t>
      </w:r>
      <w:r w:rsidR="00C96368">
        <w:rPr>
          <w:rFonts w:ascii="微软雅黑" w:eastAsia="微软雅黑" w:hAnsi="微软雅黑" w:hint="eastAsia"/>
          <w:sz w:val="24"/>
          <w:szCs w:val="24"/>
        </w:rPr>
        <w:t xml:space="preserve">  </w:t>
      </w:r>
      <w:r w:rsidR="00C96368" w:rsidRPr="00665206">
        <w:rPr>
          <w:rFonts w:ascii="微软雅黑" w:eastAsia="微软雅黑" w:hAnsi="微软雅黑" w:hint="eastAsia"/>
          <w:sz w:val="24"/>
          <w:szCs w:val="24"/>
        </w:rPr>
        <w:t>刘升平</w:t>
      </w:r>
    </w:p>
    <w:p w:rsidR="000F7AE8" w:rsidRPr="00605159" w:rsidRDefault="003B2E69" w:rsidP="00605159">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10</w:t>
      </w:r>
      <w:r w:rsidR="000F7AE8" w:rsidRPr="00665206">
        <w:rPr>
          <w:rFonts w:ascii="微软雅黑" w:eastAsia="微软雅黑" w:hAnsi="微软雅黑" w:hint="eastAsia"/>
          <w:sz w:val="24"/>
          <w:szCs w:val="24"/>
        </w:rPr>
        <w:t>.</w:t>
      </w:r>
      <w:r w:rsidR="00605159" w:rsidRPr="00665206">
        <w:rPr>
          <w:rFonts w:ascii="微软雅黑" w:eastAsia="微软雅黑" w:hAnsi="微软雅黑" w:hint="eastAsia"/>
          <w:sz w:val="24"/>
          <w:szCs w:val="24"/>
        </w:rPr>
        <w:t>清华大学 公共管理学院教授</w:t>
      </w:r>
      <w:r w:rsidR="00605159">
        <w:rPr>
          <w:rFonts w:ascii="微软雅黑" w:eastAsia="微软雅黑" w:hAnsi="微软雅黑" w:hint="eastAsia"/>
          <w:sz w:val="24"/>
          <w:szCs w:val="24"/>
        </w:rPr>
        <w:t xml:space="preserve">  </w:t>
      </w:r>
      <w:r w:rsidR="00605159" w:rsidRPr="00665206">
        <w:rPr>
          <w:rFonts w:ascii="微软雅黑" w:eastAsia="微软雅黑" w:hAnsi="微软雅黑" w:hint="eastAsia"/>
          <w:sz w:val="24"/>
          <w:szCs w:val="24"/>
        </w:rPr>
        <w:t>苏俊</w:t>
      </w:r>
    </w:p>
    <w:p w:rsidR="00A0112B" w:rsidRPr="00665206" w:rsidRDefault="00A0112B" w:rsidP="00FC3478">
      <w:pPr>
        <w:spacing w:line="360" w:lineRule="auto"/>
        <w:ind w:firstLineChars="200" w:firstLine="480"/>
        <w:rPr>
          <w:rFonts w:ascii="微软雅黑" w:eastAsia="微软雅黑" w:hAnsi="微软雅黑"/>
          <w:b/>
          <w:sz w:val="24"/>
          <w:szCs w:val="24"/>
        </w:rPr>
      </w:pPr>
      <w:r w:rsidRPr="00665206">
        <w:rPr>
          <w:rFonts w:ascii="微软雅黑" w:eastAsia="微软雅黑" w:hAnsi="微软雅黑" w:hint="eastAsia"/>
          <w:b/>
          <w:sz w:val="24"/>
          <w:szCs w:val="24"/>
        </w:rPr>
        <w:t>（二）</w:t>
      </w:r>
      <w:r w:rsidR="00414649" w:rsidRPr="00665206">
        <w:rPr>
          <w:rFonts w:ascii="微软雅黑" w:eastAsia="微软雅黑" w:hAnsi="微软雅黑" w:hint="eastAsia"/>
          <w:b/>
          <w:sz w:val="24"/>
          <w:szCs w:val="24"/>
        </w:rPr>
        <w:t>组委会</w:t>
      </w:r>
      <w:r w:rsidR="005F6D61" w:rsidRPr="00665206">
        <w:rPr>
          <w:rFonts w:ascii="微软雅黑" w:eastAsia="微软雅黑" w:hAnsi="微软雅黑" w:hint="eastAsia"/>
          <w:b/>
          <w:sz w:val="24"/>
          <w:szCs w:val="24"/>
        </w:rPr>
        <w:t>秘书处</w:t>
      </w:r>
    </w:p>
    <w:p w:rsidR="00514E75" w:rsidRPr="00665206" w:rsidRDefault="00514E75"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活动联络：陈美姣  18902289757</w:t>
      </w:r>
    </w:p>
    <w:p w:rsidR="00514E75" w:rsidRPr="00665206" w:rsidRDefault="00514E75" w:rsidP="00FC3478">
      <w:pPr>
        <w:spacing w:line="360" w:lineRule="auto"/>
        <w:ind w:firstLineChars="200" w:firstLine="480"/>
        <w:rPr>
          <w:rFonts w:ascii="微软雅黑" w:eastAsia="微软雅黑" w:hAnsi="微软雅黑"/>
          <w:sz w:val="24"/>
          <w:szCs w:val="24"/>
        </w:rPr>
      </w:pPr>
      <w:r w:rsidRPr="00665206">
        <w:rPr>
          <w:rFonts w:ascii="微软雅黑" w:eastAsia="微软雅黑" w:hAnsi="微软雅黑" w:hint="eastAsia"/>
          <w:sz w:val="24"/>
          <w:szCs w:val="24"/>
        </w:rPr>
        <w:t xml:space="preserve">商务合作：张晓萍  </w:t>
      </w:r>
      <w:r w:rsidRPr="00665206">
        <w:rPr>
          <w:rFonts w:ascii="微软雅黑" w:eastAsia="微软雅黑" w:hAnsi="微软雅黑"/>
          <w:sz w:val="24"/>
          <w:szCs w:val="24"/>
        </w:rPr>
        <w:t>18520909851</w:t>
      </w:r>
    </w:p>
    <w:p w:rsidR="0081546A" w:rsidRPr="00665206" w:rsidRDefault="004A3C2B" w:rsidP="00FC3478">
      <w:pPr>
        <w:spacing w:line="360" w:lineRule="auto"/>
        <w:ind w:firstLineChars="200" w:firstLine="480"/>
        <w:rPr>
          <w:rFonts w:ascii="微软雅黑" w:eastAsia="微软雅黑" w:hAnsi="微软雅黑"/>
          <w:color w:val="FF0000"/>
          <w:sz w:val="24"/>
          <w:szCs w:val="24"/>
        </w:rPr>
      </w:pPr>
      <w:r w:rsidRPr="00665206">
        <w:rPr>
          <w:rFonts w:ascii="微软雅黑" w:eastAsia="微软雅黑" w:hAnsi="微软雅黑" w:hint="eastAsia"/>
          <w:sz w:val="24"/>
          <w:szCs w:val="24"/>
        </w:rPr>
        <w:t>官方微信：</w:t>
      </w:r>
    </w:p>
    <w:p w:rsidR="00E71357" w:rsidRPr="00665206" w:rsidRDefault="00E71357" w:rsidP="00AE6A31">
      <w:pPr>
        <w:adjustRightInd w:val="0"/>
        <w:snapToGrid w:val="0"/>
        <w:spacing w:line="360" w:lineRule="auto"/>
        <w:ind w:firstLineChars="300" w:firstLine="720"/>
        <w:jc w:val="center"/>
        <w:rPr>
          <w:rFonts w:ascii="微软雅黑" w:eastAsia="微软雅黑" w:hAnsi="微软雅黑"/>
          <w:sz w:val="24"/>
          <w:szCs w:val="24"/>
        </w:rPr>
      </w:pPr>
      <w:r w:rsidRPr="00665206">
        <w:rPr>
          <w:rFonts w:ascii="微软雅黑" w:eastAsia="微软雅黑" w:hAnsi="微软雅黑" w:hint="eastAsia"/>
          <w:noProof/>
          <w:sz w:val="24"/>
          <w:szCs w:val="24"/>
        </w:rPr>
        <w:drawing>
          <wp:inline distT="0" distB="0" distL="0" distR="0">
            <wp:extent cx="1152525" cy="1152525"/>
            <wp:effectExtent l="19050" t="0" r="9525" b="0"/>
            <wp:docPr id="3" name="图片 3" descr="erwe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weim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210074" w:rsidRPr="00665206" w:rsidRDefault="00E71357" w:rsidP="00AE6A31">
      <w:pPr>
        <w:adjustRightInd w:val="0"/>
        <w:snapToGrid w:val="0"/>
        <w:spacing w:line="360" w:lineRule="auto"/>
        <w:jc w:val="center"/>
        <w:rPr>
          <w:rFonts w:ascii="微软雅黑" w:eastAsia="微软雅黑" w:hAnsi="微软雅黑"/>
          <w:b/>
          <w:sz w:val="24"/>
          <w:szCs w:val="24"/>
        </w:rPr>
      </w:pPr>
      <w:r w:rsidRPr="00665206">
        <w:rPr>
          <w:rFonts w:ascii="微软雅黑" w:eastAsia="微软雅黑" w:hAnsi="微软雅黑" w:hint="eastAsia"/>
          <w:b/>
          <w:sz w:val="24"/>
          <w:szCs w:val="24"/>
        </w:rPr>
        <w:t>新兴产业战略智库（GSC全媒体微信）</w:t>
      </w:r>
    </w:p>
    <w:sectPr w:rsidR="00210074" w:rsidRPr="00665206" w:rsidSect="00CA56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92F" w:rsidRDefault="0091792F" w:rsidP="00B06984">
      <w:r>
        <w:separator/>
      </w:r>
    </w:p>
  </w:endnote>
  <w:endnote w:type="continuationSeparator" w:id="1">
    <w:p w:rsidR="0091792F" w:rsidRDefault="0091792F" w:rsidP="00B06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92F" w:rsidRDefault="0091792F" w:rsidP="00B06984">
      <w:r>
        <w:separator/>
      </w:r>
    </w:p>
  </w:footnote>
  <w:footnote w:type="continuationSeparator" w:id="1">
    <w:p w:rsidR="0091792F" w:rsidRDefault="0091792F" w:rsidP="00B06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AB3"/>
    <w:multiLevelType w:val="hybridMultilevel"/>
    <w:tmpl w:val="8658671A"/>
    <w:lvl w:ilvl="0" w:tplc="7C7280B8">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B53745C"/>
    <w:multiLevelType w:val="hybridMultilevel"/>
    <w:tmpl w:val="9698F4E0"/>
    <w:lvl w:ilvl="0" w:tplc="52CE263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316"/>
    <w:rsid w:val="00002CCF"/>
    <w:rsid w:val="00006322"/>
    <w:rsid w:val="00043277"/>
    <w:rsid w:val="000640BD"/>
    <w:rsid w:val="000667FE"/>
    <w:rsid w:val="0009108E"/>
    <w:rsid w:val="000A291B"/>
    <w:rsid w:val="000A3E9B"/>
    <w:rsid w:val="000A4911"/>
    <w:rsid w:val="000B676D"/>
    <w:rsid w:val="000B777F"/>
    <w:rsid w:val="000B7E64"/>
    <w:rsid w:val="000D59DF"/>
    <w:rsid w:val="000F7AE8"/>
    <w:rsid w:val="00101A23"/>
    <w:rsid w:val="00123A02"/>
    <w:rsid w:val="001259FD"/>
    <w:rsid w:val="00137388"/>
    <w:rsid w:val="00137743"/>
    <w:rsid w:val="00141A96"/>
    <w:rsid w:val="00145482"/>
    <w:rsid w:val="00152C9D"/>
    <w:rsid w:val="001663AC"/>
    <w:rsid w:val="001676EF"/>
    <w:rsid w:val="00171AB3"/>
    <w:rsid w:val="00177AF3"/>
    <w:rsid w:val="00182AE0"/>
    <w:rsid w:val="00194A51"/>
    <w:rsid w:val="001C15BD"/>
    <w:rsid w:val="00206096"/>
    <w:rsid w:val="00210074"/>
    <w:rsid w:val="00214531"/>
    <w:rsid w:val="00276FD1"/>
    <w:rsid w:val="002914BC"/>
    <w:rsid w:val="002A1B28"/>
    <w:rsid w:val="002A6ADC"/>
    <w:rsid w:val="002B0779"/>
    <w:rsid w:val="002B0FE7"/>
    <w:rsid w:val="002B7DAC"/>
    <w:rsid w:val="002C3B15"/>
    <w:rsid w:val="002C7AE4"/>
    <w:rsid w:val="002D1097"/>
    <w:rsid w:val="002E4091"/>
    <w:rsid w:val="002F0DFF"/>
    <w:rsid w:val="00314ABE"/>
    <w:rsid w:val="00324BBA"/>
    <w:rsid w:val="00325B75"/>
    <w:rsid w:val="003437A9"/>
    <w:rsid w:val="00347BA5"/>
    <w:rsid w:val="00354C24"/>
    <w:rsid w:val="003602E4"/>
    <w:rsid w:val="00383CBC"/>
    <w:rsid w:val="00396B76"/>
    <w:rsid w:val="003A4007"/>
    <w:rsid w:val="003A6B34"/>
    <w:rsid w:val="003B2E69"/>
    <w:rsid w:val="003C0A82"/>
    <w:rsid w:val="003C6398"/>
    <w:rsid w:val="003E6769"/>
    <w:rsid w:val="0040379F"/>
    <w:rsid w:val="00414649"/>
    <w:rsid w:val="00423343"/>
    <w:rsid w:val="00423CD1"/>
    <w:rsid w:val="00450AF8"/>
    <w:rsid w:val="004536F6"/>
    <w:rsid w:val="0046473D"/>
    <w:rsid w:val="00481E6B"/>
    <w:rsid w:val="00484209"/>
    <w:rsid w:val="004A1B23"/>
    <w:rsid w:val="004A3C2B"/>
    <w:rsid w:val="004A70E4"/>
    <w:rsid w:val="004C1E99"/>
    <w:rsid w:val="004C5231"/>
    <w:rsid w:val="004D1CCB"/>
    <w:rsid w:val="004D453A"/>
    <w:rsid w:val="004D4C93"/>
    <w:rsid w:val="004E1564"/>
    <w:rsid w:val="00507783"/>
    <w:rsid w:val="00514E75"/>
    <w:rsid w:val="0051501A"/>
    <w:rsid w:val="005219A1"/>
    <w:rsid w:val="00532EB3"/>
    <w:rsid w:val="00541FCF"/>
    <w:rsid w:val="005430CC"/>
    <w:rsid w:val="005528C2"/>
    <w:rsid w:val="00555BFC"/>
    <w:rsid w:val="00557443"/>
    <w:rsid w:val="0056117B"/>
    <w:rsid w:val="0057018A"/>
    <w:rsid w:val="005740E2"/>
    <w:rsid w:val="00581636"/>
    <w:rsid w:val="005C564F"/>
    <w:rsid w:val="005E4727"/>
    <w:rsid w:val="005F6D61"/>
    <w:rsid w:val="0060346F"/>
    <w:rsid w:val="00605159"/>
    <w:rsid w:val="00607B1F"/>
    <w:rsid w:val="0061326D"/>
    <w:rsid w:val="00624C40"/>
    <w:rsid w:val="00632E1D"/>
    <w:rsid w:val="0064395E"/>
    <w:rsid w:val="00645E78"/>
    <w:rsid w:val="00651E13"/>
    <w:rsid w:val="00661BDD"/>
    <w:rsid w:val="00665206"/>
    <w:rsid w:val="00665F0C"/>
    <w:rsid w:val="006D3626"/>
    <w:rsid w:val="006D37A9"/>
    <w:rsid w:val="006D406F"/>
    <w:rsid w:val="006D563E"/>
    <w:rsid w:val="006E5EE8"/>
    <w:rsid w:val="006F1FAC"/>
    <w:rsid w:val="006F4DEE"/>
    <w:rsid w:val="007220EF"/>
    <w:rsid w:val="007243A0"/>
    <w:rsid w:val="007258B6"/>
    <w:rsid w:val="00727982"/>
    <w:rsid w:val="007377B7"/>
    <w:rsid w:val="007453CA"/>
    <w:rsid w:val="00780A0F"/>
    <w:rsid w:val="00781F3B"/>
    <w:rsid w:val="008076D3"/>
    <w:rsid w:val="0081546A"/>
    <w:rsid w:val="00853AE2"/>
    <w:rsid w:val="00863413"/>
    <w:rsid w:val="008647DA"/>
    <w:rsid w:val="00885C73"/>
    <w:rsid w:val="008A3A28"/>
    <w:rsid w:val="008B4B6D"/>
    <w:rsid w:val="008C2253"/>
    <w:rsid w:val="008C339E"/>
    <w:rsid w:val="008E0832"/>
    <w:rsid w:val="008F417E"/>
    <w:rsid w:val="00910794"/>
    <w:rsid w:val="00912894"/>
    <w:rsid w:val="0091792F"/>
    <w:rsid w:val="00921623"/>
    <w:rsid w:val="00937759"/>
    <w:rsid w:val="00970051"/>
    <w:rsid w:val="00981187"/>
    <w:rsid w:val="00993429"/>
    <w:rsid w:val="009A16BE"/>
    <w:rsid w:val="009A2CE5"/>
    <w:rsid w:val="009B3F12"/>
    <w:rsid w:val="009B4CA8"/>
    <w:rsid w:val="009C4FAE"/>
    <w:rsid w:val="009C5925"/>
    <w:rsid w:val="009C5ED6"/>
    <w:rsid w:val="009D344C"/>
    <w:rsid w:val="009D3581"/>
    <w:rsid w:val="009D3DA1"/>
    <w:rsid w:val="009F02E4"/>
    <w:rsid w:val="009F6587"/>
    <w:rsid w:val="00A0112B"/>
    <w:rsid w:val="00A03664"/>
    <w:rsid w:val="00A07EEC"/>
    <w:rsid w:val="00A149F1"/>
    <w:rsid w:val="00A17A48"/>
    <w:rsid w:val="00A20FCA"/>
    <w:rsid w:val="00A30623"/>
    <w:rsid w:val="00A32334"/>
    <w:rsid w:val="00A838C4"/>
    <w:rsid w:val="00A85FCD"/>
    <w:rsid w:val="00A933FA"/>
    <w:rsid w:val="00A96D69"/>
    <w:rsid w:val="00A96EC6"/>
    <w:rsid w:val="00AA2CAE"/>
    <w:rsid w:val="00AA55D6"/>
    <w:rsid w:val="00AB055E"/>
    <w:rsid w:val="00AD6B6C"/>
    <w:rsid w:val="00AE0833"/>
    <w:rsid w:val="00AE6A31"/>
    <w:rsid w:val="00B06984"/>
    <w:rsid w:val="00B07884"/>
    <w:rsid w:val="00B11F4C"/>
    <w:rsid w:val="00B17E4F"/>
    <w:rsid w:val="00B27AB6"/>
    <w:rsid w:val="00B32758"/>
    <w:rsid w:val="00B36372"/>
    <w:rsid w:val="00B37DA6"/>
    <w:rsid w:val="00B4432C"/>
    <w:rsid w:val="00B45939"/>
    <w:rsid w:val="00B615AA"/>
    <w:rsid w:val="00B6225E"/>
    <w:rsid w:val="00B630F8"/>
    <w:rsid w:val="00B84544"/>
    <w:rsid w:val="00B90C97"/>
    <w:rsid w:val="00BA744F"/>
    <w:rsid w:val="00BC52E4"/>
    <w:rsid w:val="00BC6AA7"/>
    <w:rsid w:val="00BD0D31"/>
    <w:rsid w:val="00BE40FE"/>
    <w:rsid w:val="00BE6D3B"/>
    <w:rsid w:val="00BF5EA5"/>
    <w:rsid w:val="00C066D3"/>
    <w:rsid w:val="00C2377F"/>
    <w:rsid w:val="00C359BD"/>
    <w:rsid w:val="00C45409"/>
    <w:rsid w:val="00C900CD"/>
    <w:rsid w:val="00C96368"/>
    <w:rsid w:val="00CA564E"/>
    <w:rsid w:val="00CA56A8"/>
    <w:rsid w:val="00CB4713"/>
    <w:rsid w:val="00CC690C"/>
    <w:rsid w:val="00CE0D54"/>
    <w:rsid w:val="00CE23DF"/>
    <w:rsid w:val="00CE7BA3"/>
    <w:rsid w:val="00CF15D4"/>
    <w:rsid w:val="00D20390"/>
    <w:rsid w:val="00D21594"/>
    <w:rsid w:val="00D2659B"/>
    <w:rsid w:val="00D26DD2"/>
    <w:rsid w:val="00D37FBA"/>
    <w:rsid w:val="00D452A9"/>
    <w:rsid w:val="00D73D9D"/>
    <w:rsid w:val="00D77429"/>
    <w:rsid w:val="00D80DE9"/>
    <w:rsid w:val="00D839B1"/>
    <w:rsid w:val="00D908EB"/>
    <w:rsid w:val="00D96565"/>
    <w:rsid w:val="00D96D04"/>
    <w:rsid w:val="00DA244D"/>
    <w:rsid w:val="00DB6AD9"/>
    <w:rsid w:val="00DC367E"/>
    <w:rsid w:val="00DD1A5A"/>
    <w:rsid w:val="00DE0CD6"/>
    <w:rsid w:val="00DE4547"/>
    <w:rsid w:val="00DF423F"/>
    <w:rsid w:val="00DF7CDE"/>
    <w:rsid w:val="00E0385A"/>
    <w:rsid w:val="00E04D35"/>
    <w:rsid w:val="00E12450"/>
    <w:rsid w:val="00E1291E"/>
    <w:rsid w:val="00E41664"/>
    <w:rsid w:val="00E6225A"/>
    <w:rsid w:val="00E633BC"/>
    <w:rsid w:val="00E71357"/>
    <w:rsid w:val="00E84316"/>
    <w:rsid w:val="00E974F3"/>
    <w:rsid w:val="00EC66E3"/>
    <w:rsid w:val="00EC7C07"/>
    <w:rsid w:val="00EE1C2F"/>
    <w:rsid w:val="00EF10B7"/>
    <w:rsid w:val="00EF3B4C"/>
    <w:rsid w:val="00F133C2"/>
    <w:rsid w:val="00F160EB"/>
    <w:rsid w:val="00F200CD"/>
    <w:rsid w:val="00F4118B"/>
    <w:rsid w:val="00F42EED"/>
    <w:rsid w:val="00F4396B"/>
    <w:rsid w:val="00F44A0D"/>
    <w:rsid w:val="00F50C2E"/>
    <w:rsid w:val="00F53BF4"/>
    <w:rsid w:val="00F603DA"/>
    <w:rsid w:val="00F82A3B"/>
    <w:rsid w:val="00F90DEB"/>
    <w:rsid w:val="00FB58CA"/>
    <w:rsid w:val="00FC3477"/>
    <w:rsid w:val="00FC3478"/>
    <w:rsid w:val="00FC5C2D"/>
    <w:rsid w:val="00FD67DB"/>
    <w:rsid w:val="00FE18D7"/>
    <w:rsid w:val="00FE545E"/>
    <w:rsid w:val="00FE63C2"/>
    <w:rsid w:val="00FE7CC6"/>
    <w:rsid w:val="00FF2080"/>
    <w:rsid w:val="00FF4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84"/>
    <w:pPr>
      <w:widowControl w:val="0"/>
      <w:jc w:val="both"/>
    </w:pPr>
    <w:rPr>
      <w:rFonts w:ascii="Calibri" w:eastAsia="宋体" w:hAnsi="Calibri" w:cs="Times New Roman"/>
    </w:rPr>
  </w:style>
  <w:style w:type="paragraph" w:styleId="1">
    <w:name w:val="heading 1"/>
    <w:basedOn w:val="a"/>
    <w:next w:val="a"/>
    <w:link w:val="1Char"/>
    <w:uiPriority w:val="9"/>
    <w:qFormat/>
    <w:rsid w:val="00B0698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69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6984"/>
    <w:rPr>
      <w:sz w:val="18"/>
      <w:szCs w:val="18"/>
    </w:rPr>
  </w:style>
  <w:style w:type="paragraph" w:styleId="a4">
    <w:name w:val="footer"/>
    <w:basedOn w:val="a"/>
    <w:link w:val="Char0"/>
    <w:uiPriority w:val="99"/>
    <w:unhideWhenUsed/>
    <w:rsid w:val="00B06984"/>
    <w:pPr>
      <w:tabs>
        <w:tab w:val="center" w:pos="4153"/>
        <w:tab w:val="right" w:pos="8306"/>
      </w:tabs>
      <w:snapToGrid w:val="0"/>
      <w:jc w:val="left"/>
    </w:pPr>
    <w:rPr>
      <w:sz w:val="18"/>
      <w:szCs w:val="18"/>
    </w:rPr>
  </w:style>
  <w:style w:type="character" w:customStyle="1" w:styleId="Char0">
    <w:name w:val="页脚 Char"/>
    <w:basedOn w:val="a0"/>
    <w:link w:val="a4"/>
    <w:uiPriority w:val="99"/>
    <w:rsid w:val="00B06984"/>
    <w:rPr>
      <w:sz w:val="18"/>
      <w:szCs w:val="18"/>
    </w:rPr>
  </w:style>
  <w:style w:type="character" w:styleId="a5">
    <w:name w:val="Hyperlink"/>
    <w:uiPriority w:val="99"/>
    <w:unhideWhenUsed/>
    <w:rsid w:val="00B06984"/>
    <w:rPr>
      <w:strike w:val="0"/>
      <w:dstrike w:val="0"/>
      <w:color w:val="1F376D"/>
      <w:u w:val="none"/>
      <w:effect w:val="none"/>
    </w:rPr>
  </w:style>
  <w:style w:type="paragraph" w:styleId="a6">
    <w:name w:val="List Paragraph"/>
    <w:basedOn w:val="a"/>
    <w:uiPriority w:val="34"/>
    <w:qFormat/>
    <w:rsid w:val="00B06984"/>
    <w:pPr>
      <w:ind w:firstLineChars="200" w:firstLine="420"/>
    </w:pPr>
  </w:style>
  <w:style w:type="character" w:customStyle="1" w:styleId="1Char">
    <w:name w:val="标题 1 Char"/>
    <w:basedOn w:val="a0"/>
    <w:link w:val="1"/>
    <w:uiPriority w:val="9"/>
    <w:rsid w:val="00B06984"/>
    <w:rPr>
      <w:rFonts w:ascii="Calibri" w:eastAsia="宋体" w:hAnsi="Calibri" w:cs="Times New Roman"/>
      <w:b/>
      <w:bCs/>
      <w:kern w:val="44"/>
      <w:sz w:val="44"/>
      <w:szCs w:val="44"/>
    </w:rPr>
  </w:style>
  <w:style w:type="character" w:customStyle="1" w:styleId="2Char">
    <w:name w:val="标题 2 Char"/>
    <w:basedOn w:val="a0"/>
    <w:link w:val="2"/>
    <w:uiPriority w:val="9"/>
    <w:rsid w:val="00B06984"/>
    <w:rPr>
      <w:rFonts w:asciiTheme="majorHAnsi" w:eastAsiaTheme="majorEastAsia" w:hAnsiTheme="majorHAnsi" w:cstheme="majorBidi"/>
      <w:b/>
      <w:bCs/>
      <w:sz w:val="32"/>
      <w:szCs w:val="32"/>
    </w:rPr>
  </w:style>
  <w:style w:type="paragraph" w:styleId="a7">
    <w:name w:val="Balloon Text"/>
    <w:basedOn w:val="a"/>
    <w:link w:val="Char1"/>
    <w:uiPriority w:val="99"/>
    <w:semiHidden/>
    <w:unhideWhenUsed/>
    <w:rsid w:val="004A3C2B"/>
    <w:rPr>
      <w:sz w:val="18"/>
      <w:szCs w:val="18"/>
    </w:rPr>
  </w:style>
  <w:style w:type="character" w:customStyle="1" w:styleId="Char1">
    <w:name w:val="批注框文本 Char"/>
    <w:basedOn w:val="a0"/>
    <w:link w:val="a7"/>
    <w:uiPriority w:val="99"/>
    <w:semiHidden/>
    <w:rsid w:val="004A3C2B"/>
    <w:rPr>
      <w:rFonts w:ascii="Calibri" w:eastAsia="宋体" w:hAnsi="Calibri" w:cs="Times New Roman"/>
      <w:sz w:val="18"/>
      <w:szCs w:val="18"/>
    </w:rPr>
  </w:style>
  <w:style w:type="paragraph" w:styleId="a8">
    <w:name w:val="footnote text"/>
    <w:basedOn w:val="a"/>
    <w:link w:val="Char2"/>
    <w:uiPriority w:val="99"/>
    <w:semiHidden/>
    <w:unhideWhenUsed/>
    <w:rsid w:val="00383CBC"/>
    <w:pPr>
      <w:snapToGrid w:val="0"/>
      <w:jc w:val="left"/>
    </w:pPr>
    <w:rPr>
      <w:sz w:val="18"/>
      <w:szCs w:val="18"/>
    </w:rPr>
  </w:style>
  <w:style w:type="character" w:customStyle="1" w:styleId="Char2">
    <w:name w:val="脚注文本 Char"/>
    <w:basedOn w:val="a0"/>
    <w:link w:val="a8"/>
    <w:uiPriority w:val="99"/>
    <w:semiHidden/>
    <w:rsid w:val="00383CBC"/>
    <w:rPr>
      <w:rFonts w:ascii="Calibri" w:eastAsia="宋体" w:hAnsi="Calibri" w:cs="Times New Roman"/>
      <w:sz w:val="18"/>
      <w:szCs w:val="18"/>
    </w:rPr>
  </w:style>
  <w:style w:type="character" w:styleId="a9">
    <w:name w:val="footnote reference"/>
    <w:basedOn w:val="a0"/>
    <w:uiPriority w:val="99"/>
    <w:semiHidden/>
    <w:unhideWhenUsed/>
    <w:rsid w:val="00383CBC"/>
    <w:rPr>
      <w:vertAlign w:val="superscript"/>
    </w:rPr>
  </w:style>
</w:styles>
</file>

<file path=word/webSettings.xml><?xml version="1.0" encoding="utf-8"?>
<w:webSettings xmlns:r="http://schemas.openxmlformats.org/officeDocument/2006/relationships" xmlns:w="http://schemas.openxmlformats.org/wordprocessingml/2006/main">
  <w:divs>
    <w:div w:id="127087059">
      <w:bodyDiv w:val="1"/>
      <w:marLeft w:val="0"/>
      <w:marRight w:val="0"/>
      <w:marTop w:val="0"/>
      <w:marBottom w:val="0"/>
      <w:divBdr>
        <w:top w:val="none" w:sz="0" w:space="0" w:color="auto"/>
        <w:left w:val="none" w:sz="0" w:space="0" w:color="auto"/>
        <w:bottom w:val="none" w:sz="0" w:space="0" w:color="auto"/>
        <w:right w:val="none" w:sz="0" w:space="0" w:color="auto"/>
      </w:divBdr>
    </w:div>
    <w:div w:id="303780808">
      <w:bodyDiv w:val="1"/>
      <w:marLeft w:val="0"/>
      <w:marRight w:val="0"/>
      <w:marTop w:val="0"/>
      <w:marBottom w:val="0"/>
      <w:divBdr>
        <w:top w:val="none" w:sz="0" w:space="0" w:color="auto"/>
        <w:left w:val="none" w:sz="0" w:space="0" w:color="auto"/>
        <w:bottom w:val="none" w:sz="0" w:space="0" w:color="auto"/>
        <w:right w:val="none" w:sz="0" w:space="0" w:color="auto"/>
      </w:divBdr>
      <w:divsChild>
        <w:div w:id="778066791">
          <w:marLeft w:val="0"/>
          <w:marRight w:val="0"/>
          <w:marTop w:val="0"/>
          <w:marBottom w:val="0"/>
          <w:divBdr>
            <w:top w:val="none" w:sz="0" w:space="0" w:color="auto"/>
            <w:left w:val="none" w:sz="0" w:space="0" w:color="auto"/>
            <w:bottom w:val="none" w:sz="0" w:space="0" w:color="auto"/>
            <w:right w:val="none" w:sz="0" w:space="0" w:color="auto"/>
          </w:divBdr>
        </w:div>
      </w:divsChild>
    </w:div>
    <w:div w:id="327054890">
      <w:bodyDiv w:val="1"/>
      <w:marLeft w:val="0"/>
      <w:marRight w:val="0"/>
      <w:marTop w:val="0"/>
      <w:marBottom w:val="0"/>
      <w:divBdr>
        <w:top w:val="none" w:sz="0" w:space="0" w:color="auto"/>
        <w:left w:val="none" w:sz="0" w:space="0" w:color="auto"/>
        <w:bottom w:val="none" w:sz="0" w:space="0" w:color="auto"/>
        <w:right w:val="none" w:sz="0" w:space="0" w:color="auto"/>
      </w:divBdr>
    </w:div>
    <w:div w:id="850335426">
      <w:bodyDiv w:val="1"/>
      <w:marLeft w:val="0"/>
      <w:marRight w:val="0"/>
      <w:marTop w:val="0"/>
      <w:marBottom w:val="0"/>
      <w:divBdr>
        <w:top w:val="none" w:sz="0" w:space="0" w:color="auto"/>
        <w:left w:val="none" w:sz="0" w:space="0" w:color="auto"/>
        <w:bottom w:val="none" w:sz="0" w:space="0" w:color="auto"/>
        <w:right w:val="none" w:sz="0" w:space="0" w:color="auto"/>
      </w:divBdr>
    </w:div>
    <w:div w:id="1018509260">
      <w:bodyDiv w:val="1"/>
      <w:marLeft w:val="0"/>
      <w:marRight w:val="0"/>
      <w:marTop w:val="0"/>
      <w:marBottom w:val="0"/>
      <w:divBdr>
        <w:top w:val="none" w:sz="0" w:space="0" w:color="auto"/>
        <w:left w:val="none" w:sz="0" w:space="0" w:color="auto"/>
        <w:bottom w:val="none" w:sz="0" w:space="0" w:color="auto"/>
        <w:right w:val="none" w:sz="0" w:space="0" w:color="auto"/>
      </w:divBdr>
      <w:divsChild>
        <w:div w:id="530070173">
          <w:marLeft w:val="0"/>
          <w:marRight w:val="0"/>
          <w:marTop w:val="0"/>
          <w:marBottom w:val="0"/>
          <w:divBdr>
            <w:top w:val="none" w:sz="0" w:space="0" w:color="auto"/>
            <w:left w:val="none" w:sz="0" w:space="0" w:color="auto"/>
            <w:bottom w:val="none" w:sz="0" w:space="0" w:color="auto"/>
            <w:right w:val="none" w:sz="0" w:space="0" w:color="auto"/>
          </w:divBdr>
        </w:div>
      </w:divsChild>
    </w:div>
    <w:div w:id="1074162893">
      <w:bodyDiv w:val="1"/>
      <w:marLeft w:val="0"/>
      <w:marRight w:val="0"/>
      <w:marTop w:val="0"/>
      <w:marBottom w:val="0"/>
      <w:divBdr>
        <w:top w:val="none" w:sz="0" w:space="0" w:color="auto"/>
        <w:left w:val="none" w:sz="0" w:space="0" w:color="auto"/>
        <w:bottom w:val="none" w:sz="0" w:space="0" w:color="auto"/>
        <w:right w:val="none" w:sz="0" w:space="0" w:color="auto"/>
      </w:divBdr>
    </w:div>
    <w:div w:id="1192185216">
      <w:bodyDiv w:val="1"/>
      <w:marLeft w:val="0"/>
      <w:marRight w:val="0"/>
      <w:marTop w:val="0"/>
      <w:marBottom w:val="0"/>
      <w:divBdr>
        <w:top w:val="none" w:sz="0" w:space="0" w:color="auto"/>
        <w:left w:val="none" w:sz="0" w:space="0" w:color="auto"/>
        <w:bottom w:val="none" w:sz="0" w:space="0" w:color="auto"/>
        <w:right w:val="none" w:sz="0" w:space="0" w:color="auto"/>
      </w:divBdr>
    </w:div>
    <w:div w:id="1561593921">
      <w:bodyDiv w:val="1"/>
      <w:marLeft w:val="0"/>
      <w:marRight w:val="0"/>
      <w:marTop w:val="0"/>
      <w:marBottom w:val="0"/>
      <w:divBdr>
        <w:top w:val="none" w:sz="0" w:space="0" w:color="auto"/>
        <w:left w:val="none" w:sz="0" w:space="0" w:color="auto"/>
        <w:bottom w:val="none" w:sz="0" w:space="0" w:color="auto"/>
        <w:right w:val="none" w:sz="0" w:space="0" w:color="auto"/>
      </w:divBdr>
    </w:div>
    <w:div w:id="1736048896">
      <w:bodyDiv w:val="1"/>
      <w:marLeft w:val="0"/>
      <w:marRight w:val="0"/>
      <w:marTop w:val="0"/>
      <w:marBottom w:val="0"/>
      <w:divBdr>
        <w:top w:val="none" w:sz="0" w:space="0" w:color="auto"/>
        <w:left w:val="none" w:sz="0" w:space="0" w:color="auto"/>
        <w:bottom w:val="none" w:sz="0" w:space="0" w:color="auto"/>
        <w:right w:val="none" w:sz="0" w:space="0" w:color="auto"/>
      </w:divBdr>
    </w:div>
    <w:div w:id="1932935170">
      <w:bodyDiv w:val="1"/>
      <w:marLeft w:val="0"/>
      <w:marRight w:val="0"/>
      <w:marTop w:val="0"/>
      <w:marBottom w:val="0"/>
      <w:divBdr>
        <w:top w:val="none" w:sz="0" w:space="0" w:color="auto"/>
        <w:left w:val="none" w:sz="0" w:space="0" w:color="auto"/>
        <w:bottom w:val="none" w:sz="0" w:space="0" w:color="auto"/>
        <w:right w:val="none" w:sz="0" w:space="0" w:color="auto"/>
      </w:divBdr>
      <w:divsChild>
        <w:div w:id="5802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t.gscled.com/top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op10@gscle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0D0F-32A5-4C77-9122-6DF9748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yanxu</dc:creator>
  <cp:lastModifiedBy>zengyj</cp:lastModifiedBy>
  <cp:revision>2</cp:revision>
  <dcterms:created xsi:type="dcterms:W3CDTF">2016-03-14T03:52:00Z</dcterms:created>
  <dcterms:modified xsi:type="dcterms:W3CDTF">2016-03-14T03:52:00Z</dcterms:modified>
</cp:coreProperties>
</file>